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widowControl/>
        <w:kinsoku/>
        <w:wordWrap/>
        <w:overflowPunct/>
        <w:topLinePunct w:val="0"/>
        <w:autoSpaceDE/>
        <w:autoSpaceDN/>
        <w:bidi w:val="0"/>
        <w:adjustRightInd/>
        <w:snapToGrid/>
        <w:spacing w:line="600" w:lineRule="exact"/>
        <w:jc w:val="center"/>
        <w:textAlignment w:val="auto"/>
        <w:rPr>
          <w:rFonts w:hint="eastAsia" w:ascii="方正小标宋简体" w:hAnsi="黑体" w:eastAsia="方正小标宋简体"/>
          <w:color w:val="000000" w:themeColor="text1"/>
          <w:w w:val="100"/>
          <w:sz w:val="44"/>
          <w:szCs w:val="36"/>
          <w14:textFill>
            <w14:solidFill>
              <w14:schemeClr w14:val="tx1"/>
            </w14:solidFill>
          </w14:textFill>
        </w:rPr>
      </w:pPr>
    </w:p>
    <w:p>
      <w:pPr>
        <w:pageBreakBefore w:val="0"/>
        <w:widowControl/>
        <w:kinsoku/>
        <w:wordWrap/>
        <w:overflowPunct/>
        <w:topLinePunct w:val="0"/>
        <w:autoSpaceDE/>
        <w:autoSpaceDN/>
        <w:bidi w:val="0"/>
        <w:adjustRightInd/>
        <w:snapToGrid/>
        <w:spacing w:line="600" w:lineRule="exact"/>
        <w:jc w:val="both"/>
        <w:textAlignment w:val="auto"/>
        <w:rPr>
          <w:rFonts w:hint="eastAsia" w:ascii="方正小标宋简体" w:hAnsi="黑体" w:eastAsia="方正小标宋简体"/>
          <w:color w:val="000000" w:themeColor="text1"/>
          <w:w w:val="100"/>
          <w:sz w:val="44"/>
          <w:szCs w:val="36"/>
          <w14:textFill>
            <w14:solidFill>
              <w14:schemeClr w14:val="tx1"/>
            </w14:solidFill>
          </w14:textFill>
        </w:rPr>
      </w:pPr>
    </w:p>
    <w:p>
      <w:pPr>
        <w:pageBreakBefore w:val="0"/>
        <w:widowControl/>
        <w:kinsoku/>
        <w:wordWrap/>
        <w:overflowPunct/>
        <w:topLinePunct w:val="0"/>
        <w:autoSpaceDE/>
        <w:autoSpaceDN/>
        <w:bidi w:val="0"/>
        <w:adjustRightInd/>
        <w:snapToGrid/>
        <w:spacing w:line="600" w:lineRule="exact"/>
        <w:jc w:val="center"/>
        <w:textAlignment w:val="auto"/>
        <w:rPr>
          <w:rFonts w:ascii="方正小标宋简体" w:hAnsi="黑体" w:eastAsia="方正小标宋简体"/>
          <w:color w:val="000000" w:themeColor="text1"/>
          <w:w w:val="100"/>
          <w:sz w:val="44"/>
          <w:szCs w:val="36"/>
          <w14:textFill>
            <w14:solidFill>
              <w14:schemeClr w14:val="tx1"/>
            </w14:solidFill>
          </w14:textFill>
        </w:rPr>
      </w:pPr>
      <w:r>
        <w:rPr>
          <w:rFonts w:hint="eastAsia" w:ascii="方正小标宋简体" w:hAnsi="黑体" w:eastAsia="方正小标宋简体"/>
          <w:color w:val="000000" w:themeColor="text1"/>
          <w:w w:val="100"/>
          <w:sz w:val="44"/>
          <w:szCs w:val="36"/>
          <w14:textFill>
            <w14:solidFill>
              <w14:schemeClr w14:val="tx1"/>
            </w14:solidFill>
          </w14:textFill>
        </w:rPr>
        <w:t>湖北省药品监督管理局电子证照系统运维服务项目采购需求</w:t>
      </w:r>
    </w:p>
    <w:p>
      <w:pPr>
        <w:pageBreakBefore w:val="0"/>
        <w:kinsoku/>
        <w:wordWrap/>
        <w:overflowPunct/>
        <w:topLinePunct w:val="0"/>
        <w:autoSpaceDE/>
        <w:autoSpaceDN/>
        <w:bidi w:val="0"/>
        <w:adjustRightInd/>
        <w:snapToGrid/>
        <w:spacing w:line="600" w:lineRule="exact"/>
        <w:ind w:firstLine="640" w:firstLineChars="200"/>
        <w:jc w:val="left"/>
        <w:textAlignment w:val="auto"/>
        <w:rPr>
          <w:rFonts w:ascii="黑体" w:hAnsi="黑体" w:eastAsia="黑体"/>
          <w:color w:val="000000" w:themeColor="text1"/>
          <w:sz w:val="32"/>
          <w:szCs w:val="32"/>
          <w14:textFill>
            <w14:solidFill>
              <w14:schemeClr w14:val="tx1"/>
            </w14:solidFill>
          </w14:textFill>
        </w:rPr>
      </w:pPr>
    </w:p>
    <w:p>
      <w:pPr>
        <w:pStyle w:val="4"/>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黑体" w:hAnsi="黑体" w:eastAsia="黑体" w:cs="黑体"/>
          <w:b w:val="0"/>
          <w:bCs w:val="0"/>
          <w:color w:val="000000" w:themeColor="text1"/>
          <w:sz w:val="32"/>
          <w:szCs w:val="32"/>
          <w14:textFill>
            <w14:solidFill>
              <w14:schemeClr w14:val="tx1"/>
            </w14:solidFill>
          </w14:textFill>
        </w:rPr>
      </w:pPr>
      <w:r>
        <w:rPr>
          <w:rFonts w:hint="eastAsia" w:ascii="黑体" w:hAnsi="黑体" w:eastAsia="黑体" w:cs="黑体"/>
          <w:b w:val="0"/>
          <w:bCs w:val="0"/>
          <w:color w:val="000000" w:themeColor="text1"/>
          <w:sz w:val="32"/>
          <w:szCs w:val="32"/>
          <w14:textFill>
            <w14:solidFill>
              <w14:schemeClr w14:val="tx1"/>
            </w14:solidFill>
          </w14:textFill>
        </w:rPr>
        <w:t>一、项目名称</w:t>
      </w:r>
    </w:p>
    <w:p>
      <w:pPr>
        <w:pStyle w:val="4"/>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黑体" w:eastAsia="仿宋_GB2312" w:cs="Times New Roman"/>
          <w:b w:val="0"/>
          <w:bCs w:val="0"/>
          <w:color w:val="000000" w:themeColor="text1"/>
          <w:kern w:val="2"/>
          <w:sz w:val="32"/>
          <w:szCs w:val="32"/>
          <w:lang w:val="en-US" w:eastAsia="zh-CN" w:bidi="ar-SA"/>
          <w14:textFill>
            <w14:solidFill>
              <w14:schemeClr w14:val="tx1"/>
            </w14:solidFill>
          </w14:textFill>
        </w:rPr>
      </w:pPr>
      <w:r>
        <w:rPr>
          <w:rFonts w:hint="eastAsia" w:ascii="仿宋_GB2312" w:hAnsi="黑体" w:eastAsia="仿宋_GB2312" w:cs="Times New Roman"/>
          <w:b w:val="0"/>
          <w:bCs w:val="0"/>
          <w:color w:val="000000" w:themeColor="text1"/>
          <w:kern w:val="2"/>
          <w:sz w:val="32"/>
          <w:szCs w:val="32"/>
          <w:lang w:val="en-US" w:eastAsia="zh-CN" w:bidi="ar-SA"/>
          <w14:textFill>
            <w14:solidFill>
              <w14:schemeClr w14:val="tx1"/>
            </w14:solidFill>
          </w14:textFill>
        </w:rPr>
        <w:t>湖北省药品监督管理局电子证照系统运维服务项目</w:t>
      </w:r>
    </w:p>
    <w:p>
      <w:pPr>
        <w:pStyle w:val="4"/>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黑体" w:hAnsi="黑体" w:eastAsia="黑体" w:cs="黑体"/>
          <w:b w:val="0"/>
          <w:bCs w:val="0"/>
          <w:color w:val="000000" w:themeColor="text1"/>
          <w:sz w:val="32"/>
          <w:szCs w:val="32"/>
          <w14:textFill>
            <w14:solidFill>
              <w14:schemeClr w14:val="tx1"/>
            </w14:solidFill>
          </w14:textFill>
        </w:rPr>
      </w:pPr>
      <w:r>
        <w:rPr>
          <w:rFonts w:hint="eastAsia" w:ascii="黑体" w:hAnsi="黑体" w:eastAsia="黑体" w:cs="黑体"/>
          <w:b w:val="0"/>
          <w:bCs w:val="0"/>
          <w:color w:val="000000" w:themeColor="text1"/>
          <w:sz w:val="32"/>
          <w:szCs w:val="32"/>
          <w14:textFill>
            <w14:solidFill>
              <w14:schemeClr w14:val="tx1"/>
            </w14:solidFill>
          </w14:textFill>
        </w:rPr>
        <w:t>二、项目预算</w:t>
      </w:r>
    </w:p>
    <w:p>
      <w:pPr>
        <w:pageBreakBefore w:val="0"/>
        <w:kinsoku/>
        <w:wordWrap/>
        <w:overflowPunct/>
        <w:topLinePunct w:val="0"/>
        <w:autoSpaceDE/>
        <w:autoSpaceDN/>
        <w:bidi w:val="0"/>
        <w:adjustRightInd/>
        <w:snapToGrid/>
        <w:spacing w:line="600" w:lineRule="exact"/>
        <w:ind w:firstLine="640" w:firstLineChars="200"/>
        <w:jc w:val="left"/>
        <w:textAlignment w:val="auto"/>
        <w:rPr>
          <w:rFonts w:ascii="仿宋_GB2312" w:hAnsi="黑体" w:eastAsia="仿宋_GB2312"/>
          <w:color w:val="000000" w:themeColor="text1"/>
          <w:sz w:val="32"/>
          <w:szCs w:val="32"/>
          <w14:textFill>
            <w14:solidFill>
              <w14:schemeClr w14:val="tx1"/>
            </w14:solidFill>
          </w14:textFill>
        </w:rPr>
      </w:pPr>
      <w:r>
        <w:rPr>
          <w:rFonts w:ascii="仿宋_GB2312" w:hAnsi="黑体" w:eastAsia="仿宋_GB2312"/>
          <w:color w:val="000000" w:themeColor="text1"/>
          <w:sz w:val="32"/>
          <w:szCs w:val="32"/>
          <w14:textFill>
            <w14:solidFill>
              <w14:schemeClr w14:val="tx1"/>
            </w14:solidFill>
          </w14:textFill>
        </w:rPr>
        <w:t>本</w:t>
      </w:r>
      <w:r>
        <w:rPr>
          <w:rFonts w:hint="eastAsia" w:ascii="仿宋_GB2312" w:hAnsi="黑体" w:eastAsia="仿宋_GB2312"/>
          <w:color w:val="000000" w:themeColor="text1"/>
          <w:sz w:val="32"/>
          <w:szCs w:val="32"/>
          <w14:textFill>
            <w14:solidFill>
              <w14:schemeClr w14:val="tx1"/>
            </w14:solidFill>
          </w14:textFill>
        </w:rPr>
        <w:t>项目</w:t>
      </w:r>
      <w:r>
        <w:rPr>
          <w:rFonts w:ascii="仿宋_GB2312" w:hAnsi="黑体" w:eastAsia="仿宋_GB2312"/>
          <w:color w:val="000000" w:themeColor="text1"/>
          <w:sz w:val="32"/>
          <w:szCs w:val="32"/>
          <w14:textFill>
            <w14:solidFill>
              <w14:schemeClr w14:val="tx1"/>
            </w14:solidFill>
          </w14:textFill>
        </w:rPr>
        <w:t>采购</w:t>
      </w:r>
      <w:r>
        <w:rPr>
          <w:rFonts w:hint="eastAsia" w:ascii="仿宋_GB2312" w:hAnsi="黑体" w:eastAsia="仿宋_GB2312"/>
          <w:color w:val="000000" w:themeColor="text1"/>
          <w:sz w:val="32"/>
          <w:szCs w:val="32"/>
          <w14:textFill>
            <w14:solidFill>
              <w14:schemeClr w14:val="tx1"/>
            </w14:solidFill>
          </w14:textFill>
        </w:rPr>
        <w:t>资金</w:t>
      </w:r>
      <w:r>
        <w:rPr>
          <w:rFonts w:ascii="仿宋_GB2312" w:hAnsi="黑体" w:eastAsia="仿宋_GB2312"/>
          <w:color w:val="000000" w:themeColor="text1"/>
          <w:sz w:val="32"/>
          <w:szCs w:val="32"/>
          <w14:textFill>
            <w14:solidFill>
              <w14:schemeClr w14:val="tx1"/>
            </w14:solidFill>
          </w14:textFill>
        </w:rPr>
        <w:t>预算</w:t>
      </w:r>
      <w:r>
        <w:rPr>
          <w:rFonts w:hint="eastAsia" w:ascii="仿宋_GB2312" w:hAnsi="黑体" w:eastAsia="仿宋_GB2312"/>
          <w:color w:val="000000" w:themeColor="text1"/>
          <w:sz w:val="32"/>
          <w:szCs w:val="32"/>
          <w:lang w:val="en-US" w:eastAsia="zh-CN"/>
          <w14:textFill>
            <w14:solidFill>
              <w14:schemeClr w14:val="tx1"/>
            </w14:solidFill>
          </w14:textFill>
        </w:rPr>
        <w:t>55</w:t>
      </w:r>
      <w:r>
        <w:rPr>
          <w:rFonts w:ascii="仿宋_GB2312" w:hAnsi="黑体" w:eastAsia="仿宋_GB2312"/>
          <w:color w:val="000000" w:themeColor="text1"/>
          <w:sz w:val="32"/>
          <w:szCs w:val="32"/>
          <w14:textFill>
            <w14:solidFill>
              <w14:schemeClr w14:val="tx1"/>
            </w14:solidFill>
          </w14:textFill>
        </w:rPr>
        <w:t>万元</w:t>
      </w:r>
      <w:r>
        <w:rPr>
          <w:rFonts w:hint="eastAsia" w:ascii="仿宋_GB2312" w:hAnsi="黑体" w:eastAsia="仿宋_GB2312"/>
          <w:color w:val="000000" w:themeColor="text1"/>
          <w:sz w:val="32"/>
          <w:szCs w:val="32"/>
          <w14:textFill>
            <w14:solidFill>
              <w14:schemeClr w14:val="tx1"/>
            </w14:solidFill>
          </w14:textFill>
        </w:rPr>
        <w:t>。</w:t>
      </w:r>
      <w:bookmarkStart w:id="0" w:name="_Toc3974930"/>
      <w:bookmarkStart w:id="1" w:name="_Toc1458930"/>
    </w:p>
    <w:p>
      <w:pPr>
        <w:pStyle w:val="4"/>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黑体" w:hAnsi="黑体" w:eastAsia="黑体" w:cs="黑体"/>
          <w:b w:val="0"/>
          <w:bCs w:val="0"/>
          <w:color w:val="000000" w:themeColor="text1"/>
          <w:sz w:val="32"/>
          <w:szCs w:val="32"/>
          <w14:textFill>
            <w14:solidFill>
              <w14:schemeClr w14:val="tx1"/>
            </w14:solidFill>
          </w14:textFill>
        </w:rPr>
      </w:pPr>
      <w:r>
        <w:rPr>
          <w:rFonts w:hint="eastAsia" w:ascii="黑体" w:hAnsi="黑体" w:eastAsia="黑体" w:cs="黑体"/>
          <w:b w:val="0"/>
          <w:bCs w:val="0"/>
          <w:color w:val="000000" w:themeColor="text1"/>
          <w:sz w:val="32"/>
          <w:szCs w:val="32"/>
          <w14:textFill>
            <w14:solidFill>
              <w14:schemeClr w14:val="tx1"/>
            </w14:solidFill>
          </w14:textFill>
        </w:rPr>
        <w:t>三、</w:t>
      </w:r>
      <w:bookmarkEnd w:id="0"/>
      <w:bookmarkEnd w:id="1"/>
      <w:bookmarkStart w:id="2" w:name="_Hlk534919445"/>
      <w:r>
        <w:rPr>
          <w:rFonts w:hint="eastAsia" w:ascii="黑体" w:hAnsi="黑体" w:eastAsia="黑体" w:cs="黑体"/>
          <w:b w:val="0"/>
          <w:bCs w:val="0"/>
          <w:color w:val="000000" w:themeColor="text1"/>
          <w:sz w:val="32"/>
          <w:szCs w:val="32"/>
          <w14:textFill>
            <w14:solidFill>
              <w14:schemeClr w14:val="tx1"/>
            </w14:solidFill>
          </w14:textFill>
        </w:rPr>
        <w:t>供应商资格条件</w:t>
      </w:r>
    </w:p>
    <w:bookmarkEnd w:id="2"/>
    <w:p>
      <w:pPr>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hAnsi="黑体" w:eastAsia="仿宋_GB2312" w:cs="仿宋_GB2312"/>
          <w:color w:val="000000" w:themeColor="text1"/>
          <w:sz w:val="32"/>
          <w:szCs w:val="32"/>
          <w14:textFill>
            <w14:solidFill>
              <w14:schemeClr w14:val="tx1"/>
            </w14:solidFill>
          </w14:textFill>
        </w:rPr>
      </w:pPr>
      <w:r>
        <w:rPr>
          <w:rFonts w:hint="eastAsia" w:ascii="仿宋_GB2312" w:hAnsi="黑体" w:eastAsia="仿宋_GB2312" w:cs="仿宋_GB2312"/>
          <w:color w:val="000000" w:themeColor="text1"/>
          <w:sz w:val="32"/>
          <w:szCs w:val="32"/>
          <w:lang w:val="en-US" w:eastAsia="zh-CN"/>
          <w14:textFill>
            <w14:solidFill>
              <w14:schemeClr w14:val="tx1"/>
            </w14:solidFill>
          </w14:textFill>
        </w:rPr>
        <w:t>1.</w:t>
      </w:r>
      <w:r>
        <w:rPr>
          <w:rFonts w:hint="eastAsia" w:ascii="仿宋_GB2312" w:hAnsi="黑体" w:eastAsia="仿宋_GB2312" w:cs="仿宋_GB2312"/>
          <w:color w:val="000000" w:themeColor="text1"/>
          <w:sz w:val="32"/>
          <w:szCs w:val="32"/>
          <w14:textFill>
            <w14:solidFill>
              <w14:schemeClr w14:val="tx1"/>
            </w14:solidFill>
          </w14:textFill>
        </w:rPr>
        <w:t>应具备《中华人民共和国政府采购法》第二十二条第一款规定的条件。</w:t>
      </w:r>
    </w:p>
    <w:p>
      <w:pPr>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hAnsi="黑体" w:eastAsia="仿宋_GB2312" w:cs="仿宋_GB2312"/>
          <w:color w:val="000000" w:themeColor="text1"/>
          <w:sz w:val="32"/>
          <w:szCs w:val="32"/>
          <w14:textFill>
            <w14:solidFill>
              <w14:schemeClr w14:val="tx1"/>
            </w14:solidFill>
          </w14:textFill>
        </w:rPr>
      </w:pPr>
      <w:r>
        <w:rPr>
          <w:rFonts w:hint="eastAsia" w:ascii="仿宋_GB2312" w:hAnsi="黑体" w:eastAsia="仿宋_GB2312" w:cs="仿宋_GB2312"/>
          <w:color w:val="000000" w:themeColor="text1"/>
          <w:sz w:val="32"/>
          <w:szCs w:val="32"/>
          <w:lang w:val="en-US" w:eastAsia="zh-CN"/>
          <w14:textFill>
            <w14:solidFill>
              <w14:schemeClr w14:val="tx1"/>
            </w14:solidFill>
          </w14:textFill>
        </w:rPr>
        <w:t>2.供应商</w:t>
      </w:r>
      <w:r>
        <w:rPr>
          <w:rFonts w:hint="eastAsia" w:ascii="仿宋_GB2312" w:hAnsi="黑体" w:eastAsia="仿宋_GB2312" w:cs="仿宋_GB2312"/>
          <w:color w:val="000000" w:themeColor="text1"/>
          <w:sz w:val="32"/>
          <w:szCs w:val="32"/>
          <w14:textFill>
            <w14:solidFill>
              <w14:schemeClr w14:val="tx1"/>
            </w14:solidFill>
          </w14:textFill>
        </w:rPr>
        <w:t>须在湖北省政府采购网上商城</w:t>
      </w:r>
      <w:r>
        <w:rPr>
          <w:rFonts w:hint="eastAsia" w:ascii="仿宋_GB2312" w:hAnsi="黑体" w:eastAsia="仿宋_GB2312" w:cs="仿宋_GB2312"/>
          <w:color w:val="000000" w:themeColor="text1"/>
          <w:sz w:val="32"/>
          <w:szCs w:val="32"/>
          <w:lang w:val="en-US" w:eastAsia="zh-CN"/>
          <w14:textFill>
            <w14:solidFill>
              <w14:schemeClr w14:val="tx1"/>
            </w14:solidFill>
          </w14:textFill>
        </w:rPr>
        <w:t>信息技术服务</w:t>
      </w:r>
      <w:r>
        <w:rPr>
          <w:rFonts w:hint="eastAsia" w:ascii="仿宋_GB2312" w:hAnsi="黑体" w:eastAsia="仿宋_GB2312" w:cs="仿宋_GB2312"/>
          <w:color w:val="000000" w:themeColor="text1"/>
          <w:sz w:val="32"/>
          <w:szCs w:val="32"/>
          <w14:textFill>
            <w14:solidFill>
              <w14:schemeClr w14:val="tx1"/>
            </w14:solidFill>
          </w14:textFill>
        </w:rPr>
        <w:t>服务定点服务商名录范围内。</w:t>
      </w:r>
    </w:p>
    <w:p>
      <w:pPr>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hAnsi="黑体" w:eastAsia="仿宋_GB2312" w:cs="仿宋_GB2312"/>
          <w:color w:val="000000" w:themeColor="text1"/>
          <w:sz w:val="32"/>
          <w:szCs w:val="32"/>
          <w14:textFill>
            <w14:solidFill>
              <w14:schemeClr w14:val="tx1"/>
            </w14:solidFill>
          </w14:textFill>
        </w:rPr>
      </w:pPr>
      <w:r>
        <w:rPr>
          <w:rFonts w:hint="eastAsia" w:ascii="仿宋_GB2312" w:hAnsi="黑体" w:eastAsia="仿宋_GB2312" w:cs="仿宋_GB2312"/>
          <w:color w:val="000000" w:themeColor="text1"/>
          <w:sz w:val="32"/>
          <w:szCs w:val="32"/>
          <w:lang w:val="en-US" w:eastAsia="zh-CN"/>
          <w14:textFill>
            <w14:solidFill>
              <w14:schemeClr w14:val="tx1"/>
            </w14:solidFill>
          </w14:textFill>
        </w:rPr>
        <w:t>3.</w:t>
      </w:r>
      <w:r>
        <w:rPr>
          <w:rFonts w:hint="eastAsia" w:ascii="仿宋_GB2312" w:hAnsi="黑体" w:eastAsia="仿宋_GB2312" w:cs="仿宋_GB2312"/>
          <w:color w:val="000000" w:themeColor="text1"/>
          <w:sz w:val="32"/>
          <w:szCs w:val="32"/>
          <w14:textFill>
            <w14:solidFill>
              <w14:schemeClr w14:val="tx1"/>
            </w14:solidFill>
          </w14:textFill>
        </w:rPr>
        <w:t>未被列入“信用中国”网站失信被执行人和重大税收违法案件当事人名单以及“中国政府采购网”政府采购严重违法失信行为记录名单。</w:t>
      </w:r>
    </w:p>
    <w:p>
      <w:pPr>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hAnsi="黑体" w:eastAsia="仿宋_GB2312" w:cs="仿宋_GB2312"/>
          <w:color w:val="000000" w:themeColor="text1"/>
          <w:sz w:val="32"/>
          <w:szCs w:val="32"/>
          <w14:textFill>
            <w14:solidFill>
              <w14:schemeClr w14:val="tx1"/>
            </w14:solidFill>
          </w14:textFill>
        </w:rPr>
      </w:pPr>
      <w:r>
        <w:rPr>
          <w:rFonts w:hint="eastAsia" w:ascii="仿宋_GB2312" w:hAnsi="黑体" w:eastAsia="仿宋_GB2312" w:cs="仿宋_GB2312"/>
          <w:color w:val="000000" w:themeColor="text1"/>
          <w:sz w:val="32"/>
          <w:szCs w:val="32"/>
          <w:lang w:val="en-US" w:eastAsia="zh-CN"/>
          <w14:textFill>
            <w14:solidFill>
              <w14:schemeClr w14:val="tx1"/>
            </w14:solidFill>
          </w14:textFill>
        </w:rPr>
        <w:t>4.</w:t>
      </w:r>
      <w:r>
        <w:rPr>
          <w:rFonts w:hint="eastAsia" w:ascii="仿宋_GB2312" w:hAnsi="黑体" w:eastAsia="仿宋_GB2312" w:cs="仿宋_GB2312"/>
          <w:color w:val="000000" w:themeColor="text1"/>
          <w:sz w:val="32"/>
          <w:szCs w:val="32"/>
          <w14:textFill>
            <w14:solidFill>
              <w14:schemeClr w14:val="tx1"/>
            </w14:solidFill>
          </w14:textFill>
        </w:rPr>
        <w:t>是否专门面向中小企业：是。</w:t>
      </w:r>
    </w:p>
    <w:p>
      <w:pPr>
        <w:pStyle w:val="4"/>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黑体" w:hAnsi="黑体" w:eastAsia="黑体" w:cs="黑体"/>
          <w:b w:val="0"/>
          <w:bCs w:val="0"/>
          <w:color w:val="000000" w:themeColor="text1"/>
          <w:sz w:val="32"/>
          <w:szCs w:val="32"/>
          <w14:textFill>
            <w14:solidFill>
              <w14:schemeClr w14:val="tx1"/>
            </w14:solidFill>
          </w14:textFill>
        </w:rPr>
      </w:pPr>
      <w:r>
        <w:rPr>
          <w:rFonts w:hint="eastAsia" w:ascii="黑体" w:hAnsi="黑体" w:eastAsia="黑体" w:cs="黑体"/>
          <w:b w:val="0"/>
          <w:bCs w:val="0"/>
          <w:color w:val="000000" w:themeColor="text1"/>
          <w:sz w:val="32"/>
          <w:szCs w:val="32"/>
          <w14:textFill>
            <w14:solidFill>
              <w14:schemeClr w14:val="tx1"/>
            </w14:solidFill>
          </w14:textFill>
        </w:rPr>
        <w:t>四、采购需求</w:t>
      </w:r>
    </w:p>
    <w:p>
      <w:pPr>
        <w:pStyle w:val="5"/>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4.</w:t>
      </w:r>
      <w:r>
        <w:rPr>
          <w:rFonts w:hint="eastAsia" w:ascii="仿宋_GB2312" w:hAnsi="仿宋_GB2312" w:eastAsia="仿宋_GB2312" w:cs="仿宋_GB2312"/>
          <w:b w:val="0"/>
          <w:bCs w:val="0"/>
          <w:color w:val="000000" w:themeColor="text1"/>
          <w:sz w:val="32"/>
          <w:szCs w:val="32"/>
          <w14:textFill>
            <w14:solidFill>
              <w14:schemeClr w14:val="tx1"/>
            </w14:solidFill>
          </w14:textFill>
        </w:rPr>
        <w:t>1.采购货物（服务）清单</w:t>
      </w:r>
    </w:p>
    <w:tbl>
      <w:tblPr>
        <w:tblStyle w:val="10"/>
        <w:tblW w:w="8222" w:type="dxa"/>
        <w:tblInd w:w="137" w:type="dxa"/>
        <w:tblLayout w:type="fixed"/>
        <w:tblCellMar>
          <w:top w:w="0" w:type="dxa"/>
          <w:left w:w="108" w:type="dxa"/>
          <w:bottom w:w="0" w:type="dxa"/>
          <w:right w:w="108" w:type="dxa"/>
        </w:tblCellMar>
      </w:tblPr>
      <w:tblGrid>
        <w:gridCol w:w="992"/>
        <w:gridCol w:w="3804"/>
        <w:gridCol w:w="2160"/>
        <w:gridCol w:w="1266"/>
      </w:tblGrid>
      <w:tr>
        <w:tblPrEx>
          <w:tblCellMar>
            <w:top w:w="0" w:type="dxa"/>
            <w:left w:w="108" w:type="dxa"/>
            <w:bottom w:w="0" w:type="dxa"/>
            <w:right w:w="108" w:type="dxa"/>
          </w:tblCellMar>
        </w:tblPrEx>
        <w:trPr>
          <w:trHeight w:val="113" w:hRule="atLeast"/>
        </w:trPr>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pPr>
              <w:pageBreakBefore w:val="0"/>
              <w:kinsoku/>
              <w:wordWrap/>
              <w:overflowPunct/>
              <w:topLinePunct w:val="0"/>
              <w:autoSpaceDE/>
              <w:autoSpaceDN/>
              <w:bidi w:val="0"/>
              <w:adjustRightInd/>
              <w:snapToGrid/>
              <w:spacing w:line="600" w:lineRule="exact"/>
              <w:ind w:left="-57" w:leftChars="-27" w:right="-78" w:rightChars="-37"/>
              <w:jc w:val="center"/>
              <w:textAlignment w:val="auto"/>
              <w:rPr>
                <w:rFonts w:ascii="黑体" w:hAnsi="黑体" w:eastAsia="黑体"/>
                <w:color w:val="000000" w:themeColor="text1"/>
                <w:sz w:val="28"/>
                <w:szCs w:val="24"/>
                <w14:textFill>
                  <w14:solidFill>
                    <w14:schemeClr w14:val="tx1"/>
                  </w14:solidFill>
                </w14:textFill>
              </w:rPr>
            </w:pPr>
            <w:r>
              <w:rPr>
                <w:rFonts w:hint="eastAsia" w:ascii="黑体" w:hAnsi="黑体" w:eastAsia="黑体"/>
                <w:color w:val="000000" w:themeColor="text1"/>
                <w:sz w:val="28"/>
                <w:szCs w:val="24"/>
                <w14:textFill>
                  <w14:solidFill>
                    <w14:schemeClr w14:val="tx1"/>
                  </w14:solidFill>
                </w14:textFill>
              </w:rPr>
              <w:t>序号</w:t>
            </w:r>
          </w:p>
        </w:tc>
        <w:tc>
          <w:tcPr>
            <w:tcW w:w="3804" w:type="dxa"/>
            <w:tcBorders>
              <w:top w:val="single" w:color="auto" w:sz="4" w:space="0"/>
              <w:left w:val="nil"/>
              <w:bottom w:val="single" w:color="auto" w:sz="4" w:space="0"/>
              <w:right w:val="single" w:color="auto" w:sz="4" w:space="0"/>
            </w:tcBorders>
            <w:shd w:val="clear" w:color="auto" w:fill="auto"/>
            <w:vAlign w:val="center"/>
          </w:tcPr>
          <w:p>
            <w:pPr>
              <w:pageBreakBefore w:val="0"/>
              <w:kinsoku/>
              <w:wordWrap/>
              <w:overflowPunct/>
              <w:topLinePunct w:val="0"/>
              <w:autoSpaceDE/>
              <w:autoSpaceDN/>
              <w:bidi w:val="0"/>
              <w:adjustRightInd/>
              <w:snapToGrid/>
              <w:spacing w:line="600" w:lineRule="exact"/>
              <w:ind w:left="-57" w:leftChars="-27" w:right="-78" w:rightChars="-37"/>
              <w:jc w:val="center"/>
              <w:textAlignment w:val="auto"/>
              <w:rPr>
                <w:rFonts w:ascii="黑体" w:hAnsi="黑体" w:eastAsia="黑体"/>
                <w:color w:val="000000" w:themeColor="text1"/>
                <w:sz w:val="28"/>
                <w:szCs w:val="24"/>
                <w14:textFill>
                  <w14:solidFill>
                    <w14:schemeClr w14:val="tx1"/>
                  </w14:solidFill>
                </w14:textFill>
              </w:rPr>
            </w:pPr>
            <w:r>
              <w:rPr>
                <w:rFonts w:hint="eastAsia" w:ascii="黑体" w:hAnsi="黑体" w:eastAsia="黑体"/>
                <w:color w:val="000000" w:themeColor="text1"/>
                <w:sz w:val="28"/>
                <w:szCs w:val="24"/>
                <w14:textFill>
                  <w14:solidFill>
                    <w14:schemeClr w14:val="tx1"/>
                  </w14:solidFill>
                </w14:textFill>
              </w:rPr>
              <w:t>名称</w:t>
            </w:r>
          </w:p>
        </w:tc>
        <w:tc>
          <w:tcPr>
            <w:tcW w:w="2160" w:type="dxa"/>
            <w:tcBorders>
              <w:top w:val="single" w:color="auto" w:sz="4" w:space="0"/>
              <w:left w:val="single" w:color="auto" w:sz="4" w:space="0"/>
              <w:bottom w:val="single" w:color="auto" w:sz="4" w:space="0"/>
              <w:right w:val="single" w:color="auto" w:sz="4" w:space="0"/>
            </w:tcBorders>
            <w:shd w:val="clear" w:color="auto" w:fill="auto"/>
            <w:vAlign w:val="center"/>
          </w:tcPr>
          <w:p>
            <w:pPr>
              <w:pageBreakBefore w:val="0"/>
              <w:kinsoku/>
              <w:wordWrap/>
              <w:overflowPunct/>
              <w:topLinePunct w:val="0"/>
              <w:autoSpaceDE/>
              <w:autoSpaceDN/>
              <w:bidi w:val="0"/>
              <w:adjustRightInd/>
              <w:snapToGrid/>
              <w:spacing w:line="600" w:lineRule="exact"/>
              <w:ind w:left="-57" w:leftChars="-27" w:right="-78" w:rightChars="-37"/>
              <w:jc w:val="center"/>
              <w:textAlignment w:val="auto"/>
              <w:rPr>
                <w:rFonts w:ascii="黑体" w:hAnsi="黑体" w:eastAsia="黑体"/>
                <w:color w:val="000000" w:themeColor="text1"/>
                <w:sz w:val="28"/>
                <w:szCs w:val="24"/>
                <w14:textFill>
                  <w14:solidFill>
                    <w14:schemeClr w14:val="tx1"/>
                  </w14:solidFill>
                </w14:textFill>
              </w:rPr>
            </w:pPr>
            <w:r>
              <w:rPr>
                <w:rFonts w:hint="eastAsia" w:ascii="黑体" w:hAnsi="黑体" w:eastAsia="黑体"/>
                <w:color w:val="000000" w:themeColor="text1"/>
                <w:sz w:val="28"/>
                <w:szCs w:val="24"/>
                <w14:textFill>
                  <w14:solidFill>
                    <w14:schemeClr w14:val="tx1"/>
                  </w14:solidFill>
                </w14:textFill>
              </w:rPr>
              <w:t>数量</w:t>
            </w:r>
          </w:p>
        </w:tc>
        <w:tc>
          <w:tcPr>
            <w:tcW w:w="1266" w:type="dxa"/>
            <w:tcBorders>
              <w:top w:val="single" w:color="auto" w:sz="4" w:space="0"/>
              <w:left w:val="single" w:color="auto" w:sz="4" w:space="0"/>
              <w:bottom w:val="single" w:color="auto" w:sz="4" w:space="0"/>
              <w:right w:val="single" w:color="auto" w:sz="4" w:space="0"/>
            </w:tcBorders>
            <w:shd w:val="clear" w:color="auto" w:fill="auto"/>
            <w:vAlign w:val="center"/>
          </w:tcPr>
          <w:p>
            <w:pPr>
              <w:pageBreakBefore w:val="0"/>
              <w:kinsoku/>
              <w:wordWrap/>
              <w:overflowPunct/>
              <w:topLinePunct w:val="0"/>
              <w:autoSpaceDE/>
              <w:autoSpaceDN/>
              <w:bidi w:val="0"/>
              <w:adjustRightInd/>
              <w:snapToGrid/>
              <w:spacing w:line="600" w:lineRule="exact"/>
              <w:ind w:left="-57" w:leftChars="-27" w:right="-78" w:rightChars="-37"/>
              <w:jc w:val="center"/>
              <w:textAlignment w:val="auto"/>
              <w:rPr>
                <w:rFonts w:ascii="黑体" w:hAnsi="黑体" w:eastAsia="黑体"/>
                <w:color w:val="000000" w:themeColor="text1"/>
                <w:sz w:val="28"/>
                <w:szCs w:val="24"/>
                <w14:textFill>
                  <w14:solidFill>
                    <w14:schemeClr w14:val="tx1"/>
                  </w14:solidFill>
                </w14:textFill>
              </w:rPr>
            </w:pPr>
            <w:r>
              <w:rPr>
                <w:rFonts w:hint="eastAsia" w:ascii="黑体" w:hAnsi="黑体" w:eastAsia="黑体"/>
                <w:color w:val="000000" w:themeColor="text1"/>
                <w:sz w:val="28"/>
                <w:szCs w:val="24"/>
                <w14:textFill>
                  <w14:solidFill>
                    <w14:schemeClr w14:val="tx1"/>
                  </w14:solidFill>
                </w14:textFill>
              </w:rPr>
              <w:t>单位</w:t>
            </w:r>
          </w:p>
        </w:tc>
      </w:tr>
      <w:tr>
        <w:tblPrEx>
          <w:tblCellMar>
            <w:top w:w="0" w:type="dxa"/>
            <w:left w:w="108" w:type="dxa"/>
            <w:bottom w:w="0" w:type="dxa"/>
            <w:right w:w="108" w:type="dxa"/>
          </w:tblCellMar>
        </w:tblPrEx>
        <w:trPr>
          <w:trHeight w:val="113" w:hRule="atLeast"/>
        </w:trPr>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pPr>
              <w:pageBreakBefore w:val="0"/>
              <w:kinsoku/>
              <w:wordWrap/>
              <w:overflowPunct/>
              <w:topLinePunct w:val="0"/>
              <w:autoSpaceDE/>
              <w:autoSpaceDN/>
              <w:bidi w:val="0"/>
              <w:adjustRightInd/>
              <w:snapToGrid/>
              <w:spacing w:line="600" w:lineRule="exact"/>
              <w:jc w:val="center"/>
              <w:textAlignment w:val="auto"/>
              <w:rPr>
                <w:rFonts w:hint="eastAsia" w:ascii="仿宋" w:hAnsi="仿宋" w:eastAsia="仿宋" w:cs="仿宋"/>
                <w:color w:val="000000" w:themeColor="text1"/>
                <w:sz w:val="28"/>
                <w:szCs w:val="44"/>
                <w14:textFill>
                  <w14:solidFill>
                    <w14:schemeClr w14:val="tx1"/>
                  </w14:solidFill>
                </w14:textFill>
              </w:rPr>
            </w:pPr>
            <w:r>
              <w:rPr>
                <w:rFonts w:hint="eastAsia" w:ascii="仿宋" w:hAnsi="仿宋" w:eastAsia="仿宋" w:cs="仿宋"/>
                <w:color w:val="000000" w:themeColor="text1"/>
                <w:kern w:val="0"/>
                <w:sz w:val="28"/>
                <w:szCs w:val="36"/>
                <w14:textFill>
                  <w14:solidFill>
                    <w14:schemeClr w14:val="tx1"/>
                  </w14:solidFill>
                </w14:textFill>
              </w:rPr>
              <w:t>1</w:t>
            </w:r>
          </w:p>
        </w:tc>
        <w:tc>
          <w:tcPr>
            <w:tcW w:w="3804" w:type="dxa"/>
            <w:tcBorders>
              <w:top w:val="single" w:color="auto" w:sz="4" w:space="0"/>
              <w:left w:val="nil"/>
              <w:bottom w:val="single" w:color="auto" w:sz="4" w:space="0"/>
              <w:right w:val="single" w:color="auto" w:sz="4" w:space="0"/>
            </w:tcBorders>
            <w:shd w:val="clear" w:color="auto" w:fill="auto"/>
            <w:vAlign w:val="center"/>
          </w:tcPr>
          <w:p>
            <w:pPr>
              <w:pageBreakBefore w:val="0"/>
              <w:kinsoku/>
              <w:wordWrap/>
              <w:overflowPunct/>
              <w:topLinePunct w:val="0"/>
              <w:autoSpaceDE/>
              <w:autoSpaceDN/>
              <w:bidi w:val="0"/>
              <w:adjustRightInd/>
              <w:snapToGrid/>
              <w:spacing w:line="600" w:lineRule="exact"/>
              <w:textAlignment w:val="auto"/>
              <w:rPr>
                <w:rFonts w:hint="default" w:ascii="仿宋" w:hAnsi="仿宋" w:eastAsia="仿宋" w:cs="仿宋"/>
                <w:color w:val="000000" w:themeColor="text1"/>
                <w:sz w:val="28"/>
                <w:szCs w:val="44"/>
                <w:lang w:val="en-US" w:eastAsia="zh-CN"/>
                <w14:textFill>
                  <w14:solidFill>
                    <w14:schemeClr w14:val="tx1"/>
                  </w14:solidFill>
                </w14:textFill>
              </w:rPr>
            </w:pPr>
            <w:r>
              <w:rPr>
                <w:rFonts w:hint="eastAsia" w:ascii="仿宋" w:hAnsi="仿宋" w:eastAsia="仿宋" w:cs="仿宋"/>
                <w:color w:val="000000" w:themeColor="text1"/>
                <w:sz w:val="28"/>
                <w:szCs w:val="44"/>
                <w:lang w:val="en-US" w:eastAsia="zh-CN"/>
                <w14:textFill>
                  <w14:solidFill>
                    <w14:schemeClr w14:val="tx1"/>
                  </w14:solidFill>
                </w14:textFill>
              </w:rPr>
              <w:t>国产化数据库替代</w:t>
            </w:r>
          </w:p>
        </w:tc>
        <w:tc>
          <w:tcPr>
            <w:tcW w:w="2160" w:type="dxa"/>
            <w:tcBorders>
              <w:top w:val="single" w:color="auto" w:sz="4" w:space="0"/>
              <w:left w:val="single" w:color="auto" w:sz="4" w:space="0"/>
              <w:bottom w:val="single" w:color="auto" w:sz="4" w:space="0"/>
              <w:right w:val="single" w:color="auto" w:sz="4" w:space="0"/>
            </w:tcBorders>
            <w:shd w:val="clear" w:color="auto" w:fill="auto"/>
            <w:vAlign w:val="center"/>
          </w:tcPr>
          <w:p>
            <w:pPr>
              <w:pageBreakBefore w:val="0"/>
              <w:tabs>
                <w:tab w:val="left" w:pos="690"/>
              </w:tabs>
              <w:kinsoku/>
              <w:wordWrap/>
              <w:overflowPunct/>
              <w:topLinePunct w:val="0"/>
              <w:autoSpaceDE/>
              <w:autoSpaceDN/>
              <w:bidi w:val="0"/>
              <w:adjustRightInd/>
              <w:snapToGrid/>
              <w:spacing w:line="600" w:lineRule="exact"/>
              <w:ind w:right="-50" w:rightChars="-24"/>
              <w:jc w:val="center"/>
              <w:textAlignment w:val="auto"/>
              <w:rPr>
                <w:rFonts w:hint="eastAsia" w:ascii="仿宋" w:hAnsi="仿宋" w:eastAsia="仿宋" w:cs="仿宋"/>
                <w:color w:val="000000" w:themeColor="text1"/>
                <w:sz w:val="28"/>
                <w:szCs w:val="44"/>
                <w14:textFill>
                  <w14:solidFill>
                    <w14:schemeClr w14:val="tx1"/>
                  </w14:solidFill>
                </w14:textFill>
              </w:rPr>
            </w:pPr>
            <w:r>
              <w:rPr>
                <w:rFonts w:hint="eastAsia" w:ascii="仿宋" w:hAnsi="仿宋" w:eastAsia="仿宋" w:cs="仿宋"/>
                <w:color w:val="000000" w:themeColor="text1"/>
                <w:sz w:val="28"/>
                <w:szCs w:val="44"/>
                <w14:textFill>
                  <w14:solidFill>
                    <w14:schemeClr w14:val="tx1"/>
                  </w14:solidFill>
                </w14:textFill>
              </w:rPr>
              <w:t>1</w:t>
            </w:r>
          </w:p>
        </w:tc>
        <w:tc>
          <w:tcPr>
            <w:tcW w:w="1266" w:type="dxa"/>
            <w:tcBorders>
              <w:top w:val="single" w:color="auto" w:sz="4" w:space="0"/>
              <w:left w:val="single" w:color="auto" w:sz="4" w:space="0"/>
              <w:bottom w:val="single" w:color="auto" w:sz="4" w:space="0"/>
              <w:right w:val="single" w:color="auto" w:sz="4" w:space="0"/>
            </w:tcBorders>
            <w:vAlign w:val="center"/>
          </w:tcPr>
          <w:p>
            <w:pPr>
              <w:pageBreakBefore w:val="0"/>
              <w:tabs>
                <w:tab w:val="left" w:pos="690"/>
              </w:tabs>
              <w:kinsoku/>
              <w:wordWrap/>
              <w:overflowPunct/>
              <w:topLinePunct w:val="0"/>
              <w:autoSpaceDE/>
              <w:autoSpaceDN/>
              <w:bidi w:val="0"/>
              <w:adjustRightInd/>
              <w:snapToGrid/>
              <w:spacing w:line="600" w:lineRule="exact"/>
              <w:ind w:right="-50" w:rightChars="-24"/>
              <w:jc w:val="center"/>
              <w:textAlignment w:val="auto"/>
              <w:rPr>
                <w:rFonts w:hint="eastAsia" w:ascii="仿宋" w:hAnsi="仿宋" w:eastAsia="仿宋" w:cs="仿宋"/>
                <w:color w:val="000000" w:themeColor="text1"/>
                <w:sz w:val="28"/>
                <w:szCs w:val="44"/>
                <w:lang w:eastAsia="zh-CN"/>
                <w14:textFill>
                  <w14:solidFill>
                    <w14:schemeClr w14:val="tx1"/>
                  </w14:solidFill>
                </w14:textFill>
              </w:rPr>
            </w:pPr>
            <w:r>
              <w:rPr>
                <w:rFonts w:hint="eastAsia" w:ascii="仿宋" w:hAnsi="仿宋" w:eastAsia="仿宋" w:cs="仿宋"/>
                <w:color w:val="000000" w:themeColor="text1"/>
                <w:sz w:val="28"/>
                <w:szCs w:val="44"/>
                <w:lang w:val="en-US" w:eastAsia="zh-CN"/>
                <w14:textFill>
                  <w14:solidFill>
                    <w14:schemeClr w14:val="tx1"/>
                  </w14:solidFill>
                </w14:textFill>
              </w:rPr>
              <w:t>套</w:t>
            </w:r>
          </w:p>
        </w:tc>
      </w:tr>
      <w:tr>
        <w:tblPrEx>
          <w:tblCellMar>
            <w:top w:w="0" w:type="dxa"/>
            <w:left w:w="108" w:type="dxa"/>
            <w:bottom w:w="0" w:type="dxa"/>
            <w:right w:w="108" w:type="dxa"/>
          </w:tblCellMar>
        </w:tblPrEx>
        <w:trPr>
          <w:trHeight w:val="113" w:hRule="atLeast"/>
        </w:trPr>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pPr>
              <w:pageBreakBefore w:val="0"/>
              <w:kinsoku/>
              <w:wordWrap/>
              <w:overflowPunct/>
              <w:topLinePunct w:val="0"/>
              <w:autoSpaceDE/>
              <w:autoSpaceDN/>
              <w:bidi w:val="0"/>
              <w:adjustRightInd/>
              <w:snapToGrid/>
              <w:spacing w:line="600" w:lineRule="exact"/>
              <w:jc w:val="center"/>
              <w:textAlignment w:val="auto"/>
              <w:rPr>
                <w:rFonts w:hint="eastAsia" w:ascii="仿宋" w:hAnsi="仿宋" w:eastAsia="仿宋" w:cs="仿宋"/>
                <w:color w:val="000000" w:themeColor="text1"/>
                <w:kern w:val="0"/>
                <w:sz w:val="28"/>
                <w:szCs w:val="36"/>
                <w:lang w:val="en-US" w:eastAsia="zh-CN"/>
                <w14:textFill>
                  <w14:solidFill>
                    <w14:schemeClr w14:val="tx1"/>
                  </w14:solidFill>
                </w14:textFill>
              </w:rPr>
            </w:pPr>
            <w:bookmarkStart w:id="3" w:name="_Toc90418146"/>
            <w:bookmarkStart w:id="4" w:name="_Toc87372252"/>
            <w:r>
              <w:rPr>
                <w:rFonts w:hint="eastAsia" w:ascii="仿宋" w:hAnsi="仿宋" w:eastAsia="仿宋" w:cs="仿宋"/>
                <w:color w:val="000000" w:themeColor="text1"/>
                <w:kern w:val="0"/>
                <w:sz w:val="28"/>
                <w:szCs w:val="36"/>
                <w:lang w:val="en-US" w:eastAsia="zh-CN"/>
                <w14:textFill>
                  <w14:solidFill>
                    <w14:schemeClr w14:val="tx1"/>
                  </w14:solidFill>
                </w14:textFill>
              </w:rPr>
              <w:t>2</w:t>
            </w:r>
          </w:p>
        </w:tc>
        <w:tc>
          <w:tcPr>
            <w:tcW w:w="3804" w:type="dxa"/>
            <w:tcBorders>
              <w:top w:val="single" w:color="auto" w:sz="4" w:space="0"/>
              <w:left w:val="nil"/>
              <w:bottom w:val="single" w:color="auto" w:sz="4" w:space="0"/>
              <w:right w:val="single" w:color="auto" w:sz="4" w:space="0"/>
            </w:tcBorders>
            <w:shd w:val="clear" w:color="auto" w:fill="auto"/>
            <w:vAlign w:val="center"/>
          </w:tcPr>
          <w:p>
            <w:pPr>
              <w:pageBreakBefore w:val="0"/>
              <w:kinsoku/>
              <w:wordWrap/>
              <w:overflowPunct/>
              <w:topLinePunct w:val="0"/>
              <w:autoSpaceDE/>
              <w:autoSpaceDN/>
              <w:bidi w:val="0"/>
              <w:adjustRightInd/>
              <w:snapToGrid/>
              <w:spacing w:line="600" w:lineRule="exact"/>
              <w:textAlignment w:val="auto"/>
              <w:rPr>
                <w:rFonts w:hint="default" w:ascii="仿宋" w:hAnsi="仿宋" w:eastAsia="仿宋" w:cs="仿宋"/>
                <w:color w:val="000000" w:themeColor="text1"/>
                <w:sz w:val="28"/>
                <w:szCs w:val="44"/>
                <w:lang w:val="en-US" w:eastAsia="zh-CN"/>
                <w14:textFill>
                  <w14:solidFill>
                    <w14:schemeClr w14:val="tx1"/>
                  </w14:solidFill>
                </w14:textFill>
              </w:rPr>
            </w:pPr>
            <w:r>
              <w:rPr>
                <w:rFonts w:hint="default" w:ascii="仿宋" w:hAnsi="仿宋" w:eastAsia="仿宋" w:cs="仿宋"/>
                <w:color w:val="000000" w:themeColor="text1"/>
                <w:sz w:val="28"/>
                <w:szCs w:val="44"/>
                <w:lang w:val="en-US" w:eastAsia="zh-CN"/>
                <w14:textFill>
                  <w14:solidFill>
                    <w14:schemeClr w14:val="tx1"/>
                  </w14:solidFill>
                </w14:textFill>
              </w:rPr>
              <w:t>电子证照系统运维服务</w:t>
            </w:r>
          </w:p>
        </w:tc>
        <w:tc>
          <w:tcPr>
            <w:tcW w:w="2160" w:type="dxa"/>
            <w:tcBorders>
              <w:top w:val="single" w:color="auto" w:sz="4" w:space="0"/>
              <w:left w:val="single" w:color="auto" w:sz="4" w:space="0"/>
              <w:bottom w:val="single" w:color="auto" w:sz="4" w:space="0"/>
              <w:right w:val="single" w:color="auto" w:sz="4" w:space="0"/>
            </w:tcBorders>
            <w:shd w:val="clear" w:color="auto" w:fill="auto"/>
            <w:vAlign w:val="center"/>
          </w:tcPr>
          <w:p>
            <w:pPr>
              <w:pageBreakBefore w:val="0"/>
              <w:tabs>
                <w:tab w:val="left" w:pos="690"/>
              </w:tabs>
              <w:kinsoku/>
              <w:wordWrap/>
              <w:overflowPunct/>
              <w:topLinePunct w:val="0"/>
              <w:autoSpaceDE/>
              <w:autoSpaceDN/>
              <w:bidi w:val="0"/>
              <w:adjustRightInd/>
              <w:snapToGrid/>
              <w:spacing w:line="600" w:lineRule="exact"/>
              <w:ind w:right="-50" w:rightChars="-24"/>
              <w:jc w:val="center"/>
              <w:textAlignment w:val="auto"/>
              <w:rPr>
                <w:rFonts w:hint="eastAsia" w:ascii="仿宋" w:hAnsi="仿宋" w:eastAsia="仿宋" w:cs="仿宋"/>
                <w:color w:val="000000" w:themeColor="text1"/>
                <w:sz w:val="28"/>
                <w:szCs w:val="44"/>
                <w14:textFill>
                  <w14:solidFill>
                    <w14:schemeClr w14:val="tx1"/>
                  </w14:solidFill>
                </w14:textFill>
              </w:rPr>
            </w:pPr>
            <w:r>
              <w:rPr>
                <w:rFonts w:hint="eastAsia" w:ascii="仿宋" w:hAnsi="仿宋" w:eastAsia="仿宋" w:cs="仿宋"/>
                <w:color w:val="000000" w:themeColor="text1"/>
                <w:sz w:val="28"/>
                <w:szCs w:val="44"/>
                <w14:textFill>
                  <w14:solidFill>
                    <w14:schemeClr w14:val="tx1"/>
                  </w14:solidFill>
                </w14:textFill>
              </w:rPr>
              <w:t>1</w:t>
            </w:r>
          </w:p>
        </w:tc>
        <w:tc>
          <w:tcPr>
            <w:tcW w:w="1266" w:type="dxa"/>
            <w:tcBorders>
              <w:top w:val="single" w:color="auto" w:sz="4" w:space="0"/>
              <w:left w:val="single" w:color="auto" w:sz="4" w:space="0"/>
              <w:bottom w:val="single" w:color="auto" w:sz="4" w:space="0"/>
              <w:right w:val="single" w:color="auto" w:sz="4" w:space="0"/>
            </w:tcBorders>
            <w:vAlign w:val="center"/>
          </w:tcPr>
          <w:p>
            <w:pPr>
              <w:pageBreakBefore w:val="0"/>
              <w:tabs>
                <w:tab w:val="left" w:pos="690"/>
              </w:tabs>
              <w:kinsoku/>
              <w:wordWrap/>
              <w:overflowPunct/>
              <w:topLinePunct w:val="0"/>
              <w:autoSpaceDE/>
              <w:autoSpaceDN/>
              <w:bidi w:val="0"/>
              <w:adjustRightInd/>
              <w:snapToGrid/>
              <w:spacing w:line="600" w:lineRule="exact"/>
              <w:ind w:right="-50" w:rightChars="-24"/>
              <w:jc w:val="center"/>
              <w:textAlignment w:val="auto"/>
              <w:rPr>
                <w:rFonts w:hint="eastAsia" w:ascii="仿宋" w:hAnsi="仿宋" w:eastAsia="仿宋" w:cs="仿宋"/>
                <w:color w:val="000000" w:themeColor="text1"/>
                <w:sz w:val="28"/>
                <w:szCs w:val="44"/>
                <w14:textFill>
                  <w14:solidFill>
                    <w14:schemeClr w14:val="tx1"/>
                  </w14:solidFill>
                </w14:textFill>
              </w:rPr>
            </w:pPr>
            <w:r>
              <w:rPr>
                <w:rFonts w:hint="eastAsia" w:ascii="仿宋" w:hAnsi="仿宋" w:eastAsia="仿宋" w:cs="仿宋"/>
                <w:color w:val="000000" w:themeColor="text1"/>
                <w:sz w:val="28"/>
                <w:szCs w:val="44"/>
                <w14:textFill>
                  <w14:solidFill>
                    <w14:schemeClr w14:val="tx1"/>
                  </w14:solidFill>
                </w14:textFill>
              </w:rPr>
              <w:t>项</w:t>
            </w:r>
          </w:p>
        </w:tc>
      </w:tr>
    </w:tbl>
    <w:p>
      <w:pPr>
        <w:pStyle w:val="4"/>
        <w:pageBreakBefore w:val="0"/>
        <w:kinsoku/>
        <w:wordWrap/>
        <w:overflowPunct/>
        <w:topLinePunct w:val="0"/>
        <w:autoSpaceDE/>
        <w:autoSpaceDN/>
        <w:bidi w:val="0"/>
        <w:adjustRightInd/>
        <w:snapToGrid/>
        <w:spacing w:beforeAutospacing="0" w:afterAutospacing="0" w:line="600" w:lineRule="exact"/>
        <w:ind w:firstLine="640" w:firstLineChars="200"/>
        <w:textAlignment w:val="auto"/>
        <w:rPr>
          <w:rFonts w:hint="default" w:ascii="仿宋_GB2312" w:hAnsi="仿宋_GB2312" w:eastAsia="仿宋_GB2312" w:cs="仿宋_GB2312"/>
          <w:b w:val="0"/>
          <w:bCs w:val="0"/>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lang w:val="en-US" w:eastAsia="zh-CN" w:bidi="ar-SA"/>
          <w14:textFill>
            <w14:solidFill>
              <w14:schemeClr w14:val="tx1"/>
            </w14:solidFill>
          </w14:textFill>
        </w:rPr>
        <w:t>4.2.项目基本情况</w:t>
      </w:r>
    </w:p>
    <w:p>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default" w:ascii="黑体" w:hAnsi="黑体" w:eastAsia="黑体" w:cs="黑体"/>
          <w:b w:val="0"/>
          <w:bCs w:val="0"/>
          <w:color w:val="000000" w:themeColor="text1"/>
          <w:sz w:val="32"/>
          <w:szCs w:val="32"/>
          <w:lang w:val="en-US"/>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为贯彻落实</w:t>
      </w:r>
      <w:r>
        <w:rPr>
          <w:rFonts w:hint="eastAsia" w:ascii="仿宋_GB2312" w:eastAsia="仿宋_GB2312"/>
          <w:sz w:val="32"/>
          <w:szCs w:val="32"/>
          <w:lang w:eastAsia="zh-CN"/>
        </w:rPr>
        <w:t>《国务院关于进一步优化政务服务提升行政效能推动“高效办成一件事”的指导意见》、《药品经营和使用质量监督管理办法》（国家市场监督管理总局令第84号）、《</w:t>
      </w:r>
      <w:r>
        <w:rPr>
          <w:rFonts w:hint="eastAsia" w:ascii="仿宋_GB2312" w:eastAsia="仿宋_GB2312"/>
          <w:sz w:val="32"/>
          <w:szCs w:val="32"/>
          <w:lang w:val="en-US" w:eastAsia="zh-CN"/>
        </w:rPr>
        <w:t>国家药监局信息中心关于印发全国一体化政务服务平台药品监管电子证照相关标准的通知</w:t>
      </w:r>
      <w:r>
        <w:rPr>
          <w:rFonts w:hint="eastAsia" w:ascii="仿宋_GB2312" w:eastAsia="仿宋_GB2312"/>
          <w:sz w:val="32"/>
          <w:szCs w:val="32"/>
          <w:lang w:eastAsia="zh-CN"/>
        </w:rPr>
        <w:t>》、</w:t>
      </w:r>
      <w:r>
        <w:rPr>
          <w:rFonts w:hint="eastAsia" w:ascii="仿宋_GB2312" w:hAnsi="仿宋_GB2312" w:eastAsia="仿宋_GB2312" w:cs="仿宋_GB2312"/>
          <w:color w:val="000000"/>
          <w:sz w:val="32"/>
          <w:szCs w:val="32"/>
          <w:lang w:val="en-US" w:eastAsia="zh-CN"/>
        </w:rPr>
        <w:t>《湖北省人民政府办公厅关于印发&lt;2023年全省深化“一网通办”工作要点&gt;的通知》和《湖北省人民政府办公厅关于印发&lt;2023 年市(州)、省直部门“高效办成一件事”考核指标&gt;的通知》</w:t>
      </w:r>
      <w:r>
        <w:rPr>
          <w:rFonts w:hint="eastAsia" w:ascii="仿宋_GB2312" w:eastAsia="仿宋_GB2312"/>
          <w:sz w:val="32"/>
          <w:szCs w:val="32"/>
        </w:rPr>
        <w:t>等</w:t>
      </w:r>
      <w:r>
        <w:rPr>
          <w:rFonts w:ascii="仿宋_GB2312" w:eastAsia="仿宋_GB2312"/>
          <w:sz w:val="32"/>
          <w:szCs w:val="32"/>
        </w:rPr>
        <w:t>文件</w:t>
      </w:r>
      <w:r>
        <w:rPr>
          <w:rFonts w:hint="eastAsia" w:ascii="仿宋_GB2312" w:eastAsia="仿宋_GB2312"/>
          <w:sz w:val="32"/>
          <w:szCs w:val="32"/>
          <w:lang w:val="en-US" w:eastAsia="zh-CN"/>
        </w:rPr>
        <w:t>要求</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仿宋_GB2312" w:eastAsia="仿宋_GB2312"/>
          <w:sz w:val="32"/>
          <w:szCs w:val="32"/>
          <w:lang w:val="en-US" w:eastAsia="zh-CN"/>
        </w:rPr>
        <w:t>坚持标准引领、数据驱动，持续优化完善湖北省药品监督管理局电子证照系统功能，加强数据交换校验，深化数据共享应用效能，进一步提升省内药品数据数字化、标准化水平，为各级药品监管部门电子证照“跨部门、跨层级、跨地区”实施应用夯实基础支撑，便利企业办事。</w:t>
      </w:r>
    </w:p>
    <w:p>
      <w:pPr>
        <w:pStyle w:val="4"/>
        <w:pageBreakBefore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黑体" w:hAnsi="黑体" w:eastAsia="黑体" w:cs="黑体"/>
          <w:b w:val="0"/>
          <w:bCs w:val="0"/>
          <w:color w:val="000000" w:themeColor="text1"/>
          <w:sz w:val="32"/>
          <w:szCs w:val="32"/>
          <w14:textFill>
            <w14:solidFill>
              <w14:schemeClr w14:val="tx1"/>
            </w14:solidFill>
          </w14:textFill>
        </w:rPr>
      </w:pPr>
      <w:r>
        <w:rPr>
          <w:rFonts w:hint="eastAsia" w:ascii="黑体" w:hAnsi="黑体" w:eastAsia="黑体" w:cs="黑体"/>
          <w:b w:val="0"/>
          <w:bCs w:val="0"/>
          <w:color w:val="000000" w:themeColor="text1"/>
          <w:sz w:val="32"/>
          <w:szCs w:val="32"/>
          <w14:textFill>
            <w14:solidFill>
              <w14:schemeClr w14:val="tx1"/>
            </w14:solidFill>
          </w14:textFill>
        </w:rPr>
        <w:t>五、项目技术规格、参数及要求</w:t>
      </w:r>
      <w:bookmarkEnd w:id="3"/>
      <w:bookmarkEnd w:id="4"/>
      <w:bookmarkStart w:id="5" w:name="_Toc131152197"/>
    </w:p>
    <w:bookmarkEnd w:id="5"/>
    <w:p>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default" w:ascii="楷体_GB2312" w:hAnsi="楷体_GB2312" w:eastAsia="楷体_GB2312" w:cs="楷体_GB2312"/>
          <w:color w:val="000000"/>
          <w:sz w:val="32"/>
          <w:szCs w:val="32"/>
          <w:lang w:val="en-US" w:eastAsia="zh-CN"/>
        </w:rPr>
      </w:pPr>
      <w:r>
        <w:rPr>
          <w:rFonts w:hint="eastAsia" w:ascii="楷体_GB2312" w:hAnsi="楷体_GB2312" w:eastAsia="楷体_GB2312" w:cs="楷体_GB2312"/>
          <w:color w:val="000000"/>
          <w:sz w:val="32"/>
          <w:szCs w:val="32"/>
          <w:lang w:val="en-US" w:eastAsia="zh-CN"/>
        </w:rPr>
        <w:t>5.1国产化数据库替代</w:t>
      </w:r>
    </w:p>
    <w:p>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楷体_GB2312" w:hAnsi="楷体_GB2312" w:eastAsia="楷体_GB2312" w:cs="楷体_GB2312"/>
          <w:color w:val="000000"/>
          <w:sz w:val="32"/>
          <w:szCs w:val="32"/>
          <w:lang w:val="en-US" w:eastAsia="zh-CN"/>
        </w:rPr>
      </w:pPr>
      <w:r>
        <w:rPr>
          <w:rFonts w:hint="eastAsia" w:ascii="楷体_GB2312" w:hAnsi="楷体_GB2312" w:eastAsia="楷体_GB2312" w:cs="楷体_GB2312"/>
          <w:color w:val="000000"/>
          <w:sz w:val="32"/>
          <w:szCs w:val="32"/>
          <w:lang w:val="en-US" w:eastAsia="zh-CN"/>
        </w:rPr>
        <w:t>（1）完成数据库国产化替代。</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采购国产化数据库，国产化数据库需具备高性能、高安全、高可用、易使用、易管理、易维护等特点，数据库支持国产信创环境、操作系统与云平台部署。</w:t>
      </w:r>
    </w:p>
    <w:p>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楷体_GB2312" w:hAnsi="楷体_GB2312" w:eastAsia="楷体_GB2312" w:cs="楷体_GB2312"/>
          <w:color w:val="000000"/>
          <w:sz w:val="32"/>
          <w:szCs w:val="32"/>
          <w:lang w:val="en-US" w:eastAsia="zh-CN"/>
        </w:rPr>
      </w:pPr>
      <w:r>
        <w:rPr>
          <w:rFonts w:hint="eastAsia" w:ascii="楷体_GB2312" w:hAnsi="楷体_GB2312" w:eastAsia="楷体_GB2312" w:cs="楷体_GB2312"/>
          <w:color w:val="000000"/>
          <w:sz w:val="32"/>
          <w:szCs w:val="32"/>
          <w:lang w:val="en-US" w:eastAsia="zh-CN"/>
        </w:rPr>
        <w:t>（2）完成历史数据迁移。</w:t>
      </w:r>
    </w:p>
    <w:p>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对历史数据库中不同类型的表进行关联关系梳理，明确证书数据关联逻辑和字段映射关系，建立关联信息表和数据落地存储表，确保迁移后的数据能够合理存储。充分利用数据迁移工具，对源数据库中读取数据进行转换、清洗，完成数据自动迁移。开展数据验证，确保迁移后的数据准确无误，满足业务需求。</w:t>
      </w:r>
    </w:p>
    <w:p>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default" w:ascii="楷体_GB2312" w:hAnsi="楷体_GB2312" w:eastAsia="楷体_GB2312" w:cs="楷体_GB2312"/>
          <w:color w:val="000000" w:themeColor="text1"/>
          <w:sz w:val="32"/>
          <w:szCs w:val="32"/>
          <w:lang w:val="en-US" w:eastAsia="zh-CN"/>
          <w14:textFill>
            <w14:solidFill>
              <w14:schemeClr w14:val="tx1"/>
            </w14:solidFill>
          </w14:textFill>
        </w:rPr>
      </w:pPr>
      <w:r>
        <w:rPr>
          <w:rFonts w:hint="eastAsia" w:ascii="楷体_GB2312" w:hAnsi="楷体_GB2312" w:eastAsia="楷体_GB2312" w:cs="楷体_GB2312"/>
          <w:color w:val="000000" w:themeColor="text1"/>
          <w:sz w:val="32"/>
          <w:szCs w:val="32"/>
          <w:lang w:val="en-US" w:eastAsia="zh-CN"/>
          <w14:textFill>
            <w14:solidFill>
              <w14:schemeClr w14:val="tx1"/>
            </w14:solidFill>
          </w14:textFill>
        </w:rPr>
        <w:t>5.2完成电子证书标准化改造</w:t>
      </w:r>
    </w:p>
    <w:p>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default" w:ascii="楷体_GB2312" w:hAnsi="楷体_GB2312" w:eastAsia="楷体_GB2312" w:cs="楷体_GB2312"/>
          <w:color w:val="000000"/>
          <w:sz w:val="32"/>
          <w:szCs w:val="32"/>
          <w:lang w:val="en-US" w:eastAsia="zh-CN"/>
        </w:rPr>
      </w:pPr>
      <w:r>
        <w:rPr>
          <w:rFonts w:hint="eastAsia" w:ascii="楷体_GB2312" w:hAnsi="楷体_GB2312" w:eastAsia="楷体_GB2312" w:cs="楷体_GB2312"/>
          <w:color w:val="000000"/>
          <w:sz w:val="32"/>
          <w:szCs w:val="32"/>
          <w:lang w:val="en-US" w:eastAsia="zh-CN"/>
        </w:rPr>
        <w:t>（1）调整规范电子证书模板。</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firstLine="640" w:firstLineChars="200"/>
        <w:jc w:val="both"/>
        <w:textAlignment w:val="auto"/>
        <w:rPr>
          <w:rFonts w:hint="default" w:ascii="仿宋_GB2312" w:eastAsia="仿宋_GB2312"/>
          <w:color w:val="000000"/>
          <w:sz w:val="32"/>
          <w:szCs w:val="32"/>
          <w:highlight w:val="none"/>
          <w:lang w:val="en-US" w:eastAsia="zh-CN"/>
        </w:rPr>
      </w:pPr>
      <w:r>
        <w:rPr>
          <w:rFonts w:hint="eastAsia" w:ascii="仿宋_GB2312" w:eastAsia="仿宋_GB2312"/>
          <w:color w:val="000000"/>
          <w:sz w:val="32"/>
          <w:szCs w:val="32"/>
          <w:highlight w:val="none"/>
          <w:lang w:val="en-US" w:eastAsia="zh-CN"/>
        </w:rPr>
        <w:t>按照国家药监局信息中心2023年新版证书模板标准，重新调整本省范围内电子证照、批件模板和数据源。根据新版证书数据规范，对应设计新的数据存储结构，包括但不限于数据库表结构、字段定义、索引策略等。</w:t>
      </w:r>
    </w:p>
    <w:p>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楷体_GB2312" w:hAnsi="楷体_GB2312" w:eastAsia="楷体_GB2312" w:cs="楷体_GB2312"/>
          <w:color w:val="000000" w:themeColor="text1"/>
          <w:sz w:val="32"/>
          <w:szCs w:val="32"/>
          <w:lang w:val="en-US" w:eastAsia="zh-CN"/>
          <w14:textFill>
            <w14:solidFill>
              <w14:schemeClr w14:val="tx1"/>
            </w14:solidFill>
          </w14:textFill>
        </w:rPr>
      </w:pPr>
      <w:r>
        <w:rPr>
          <w:rFonts w:hint="eastAsia" w:ascii="楷体_GB2312" w:hAnsi="楷体_GB2312" w:eastAsia="楷体_GB2312" w:cs="楷体_GB2312"/>
          <w:color w:val="000000" w:themeColor="text1"/>
          <w:sz w:val="32"/>
          <w:szCs w:val="32"/>
          <w:lang w:val="en-US" w:eastAsia="zh-CN"/>
          <w14:textFill>
            <w14:solidFill>
              <w14:schemeClr w14:val="tx1"/>
            </w14:solidFill>
          </w14:textFill>
        </w:rPr>
        <w:t>（2）新增电子证书数据标准化校验功能。</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firstLine="640" w:firstLineChars="200"/>
        <w:jc w:val="left"/>
        <w:textAlignment w:val="auto"/>
        <w:rPr>
          <w:rFonts w:hint="eastAsia" w:ascii="仿宋" w:hAnsi="仿宋" w:eastAsia="仿宋" w:cs="仿宋"/>
          <w:color w:val="000000" w:themeColor="text1"/>
          <w:kern w:val="0"/>
          <w:sz w:val="31"/>
          <w:szCs w:val="31"/>
          <w:lang w:val="en-US" w:eastAsia="zh-CN" w:bidi="ar"/>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根据</w:t>
      </w:r>
      <w:r>
        <w:rPr>
          <w:rFonts w:hint="eastAsia" w:ascii="仿宋_GB2312" w:eastAsia="仿宋_GB2312"/>
          <w:color w:val="000000" w:themeColor="text1"/>
          <w:sz w:val="32"/>
          <w:szCs w:val="32"/>
          <w:lang w:eastAsia="zh-CN"/>
          <w14:textFill>
            <w14:solidFill>
              <w14:schemeClr w14:val="tx1"/>
            </w14:solidFill>
          </w14:textFill>
        </w:rPr>
        <w:t>《</w:t>
      </w:r>
      <w:r>
        <w:rPr>
          <w:rFonts w:hint="eastAsia" w:ascii="仿宋_GB2312" w:eastAsia="仿宋_GB2312"/>
          <w:color w:val="000000" w:themeColor="text1"/>
          <w:sz w:val="32"/>
          <w:szCs w:val="32"/>
          <w:lang w:val="en-US" w:eastAsia="zh-CN"/>
          <w14:textFill>
            <w14:solidFill>
              <w14:schemeClr w14:val="tx1"/>
            </w14:solidFill>
          </w14:textFill>
        </w:rPr>
        <w:t>国家药监局信息中心关于印发全国一体化政务服务平台药品监管电子证照相关标准的通知</w:t>
      </w:r>
      <w:r>
        <w:rPr>
          <w:rFonts w:hint="eastAsia" w:ascii="仿宋_GB2312" w:eastAsia="仿宋_GB2312"/>
          <w:color w:val="000000" w:themeColor="text1"/>
          <w:sz w:val="32"/>
          <w:szCs w:val="32"/>
          <w:lang w:eastAsia="zh-CN"/>
          <w14:textFill>
            <w14:solidFill>
              <w14:schemeClr w14:val="tx1"/>
            </w14:solidFill>
          </w14:textFill>
        </w:rPr>
        <w:t>》</w:t>
      </w:r>
      <w:r>
        <w:rPr>
          <w:rFonts w:hint="eastAsia" w:ascii="仿宋_GB2312" w:eastAsia="仿宋_GB2312"/>
          <w:color w:val="000000" w:themeColor="text1"/>
          <w:sz w:val="32"/>
          <w:szCs w:val="32"/>
          <w:lang w:val="en-US" w:eastAsia="zh-CN"/>
          <w14:textFill>
            <w14:solidFill>
              <w14:schemeClr w14:val="tx1"/>
            </w14:solidFill>
          </w14:textFill>
        </w:rPr>
        <w:t>和省数据局电子证照归集标准，加强对省市场局行政审批、武汉市市场局行政备案、省药监局行政审批和省药监局行政备案等系统推送数据字段准确性校验，包含但不限于证书类型、证书编号规则、企业社会信用代码、经营方式、发证日期、发证机关等。</w:t>
      </w:r>
    </w:p>
    <w:p>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楷体_GB2312" w:hAnsi="楷体_GB2312" w:eastAsia="楷体_GB2312" w:cs="楷体_GB2312"/>
          <w:color w:val="000000" w:themeColor="text1"/>
          <w:sz w:val="32"/>
          <w:szCs w:val="32"/>
          <w:highlight w:val="none"/>
          <w:lang w:val="en-US" w:eastAsia="zh-CN"/>
          <w14:textFill>
            <w14:solidFill>
              <w14:schemeClr w14:val="tx1"/>
            </w14:solidFill>
          </w14:textFill>
        </w:rPr>
      </w:pPr>
      <w:r>
        <w:rPr>
          <w:rFonts w:hint="eastAsia" w:ascii="楷体_GB2312" w:hAnsi="楷体_GB2312" w:eastAsia="楷体_GB2312" w:cs="楷体_GB2312"/>
          <w:color w:val="000000" w:themeColor="text1"/>
          <w:sz w:val="32"/>
          <w:szCs w:val="32"/>
          <w:highlight w:val="none"/>
          <w:lang w:val="en-US" w:eastAsia="zh-CN"/>
          <w14:textFill>
            <w14:solidFill>
              <w14:schemeClr w14:val="tx1"/>
            </w14:solidFill>
          </w14:textFill>
        </w:rPr>
        <w:t>（3）调整证书数据存储结构。</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firstLine="640" w:firstLineChars="200"/>
        <w:jc w:val="left"/>
        <w:textAlignment w:val="auto"/>
        <w:rPr>
          <w:rFonts w:hint="default" w:ascii="仿宋_GB2312" w:eastAsia="仿宋_GB2312"/>
          <w:color w:val="auto"/>
          <w:sz w:val="32"/>
          <w:szCs w:val="32"/>
          <w:highlight w:val="none"/>
          <w:lang w:val="en-US" w:eastAsia="zh-CN"/>
        </w:rPr>
      </w:pPr>
      <w:r>
        <w:rPr>
          <w:rFonts w:hint="eastAsia" w:ascii="仿宋_GB2312" w:eastAsia="仿宋_GB2312"/>
          <w:color w:val="auto"/>
          <w:sz w:val="32"/>
          <w:szCs w:val="32"/>
          <w:highlight w:val="none"/>
          <w:lang w:val="en-US" w:eastAsia="zh-CN"/>
        </w:rPr>
        <w:t>制定数据更新计划，包括数据更新的时间表、更新规则、数据校验方法等。对于已生成的电子证书结构化数据定期分析定期处理，对已过期或者已失效的证书进行存储转移，避免资源溢出。对电子证书系统产生的非结构化数据调整数据库备份时间、模式以及异机备份的存储方式。</w:t>
      </w:r>
    </w:p>
    <w:p>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default" w:ascii="楷体_GB2312" w:hAnsi="楷体_GB2312" w:eastAsia="楷体_GB2312" w:cs="楷体_GB2312"/>
          <w:color w:val="000000" w:themeColor="text1"/>
          <w:sz w:val="32"/>
          <w:szCs w:val="32"/>
          <w:lang w:val="en-US" w:eastAsia="zh-CN"/>
          <w14:textFill>
            <w14:solidFill>
              <w14:schemeClr w14:val="tx1"/>
            </w14:solidFill>
          </w14:textFill>
        </w:rPr>
      </w:pPr>
      <w:r>
        <w:rPr>
          <w:rFonts w:hint="eastAsia" w:ascii="楷体_GB2312" w:hAnsi="楷体_GB2312" w:eastAsia="楷体_GB2312" w:cs="楷体_GB2312"/>
          <w:color w:val="000000" w:themeColor="text1"/>
          <w:sz w:val="32"/>
          <w:szCs w:val="32"/>
          <w:lang w:val="en-US" w:eastAsia="zh-CN"/>
          <w14:textFill>
            <w14:solidFill>
              <w14:schemeClr w14:val="tx1"/>
            </w14:solidFill>
          </w14:textFill>
        </w:rPr>
        <w:t>（4）完成省电子证照库新接口切换。</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firstLine="640" w:firstLineChars="200"/>
        <w:jc w:val="both"/>
        <w:textAlignment w:val="auto"/>
        <w:rPr>
          <w:rFonts w:hint="default"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按照《关于切换省电子证照库应用接口的通知》、省电子证照依事项类接口说明文档规范和湖北省电子证照库平台接入指南，调整与省电子证照库对接方式和数据推送逻辑，完成前置库证照数据同步表、异常证照数据回流表等证照对接表结构修改，增加推送信息字段。</w:t>
      </w:r>
    </w:p>
    <w:p>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楷体_GB2312" w:hAnsi="楷体_GB2312" w:eastAsia="楷体_GB2312" w:cs="楷体_GB2312"/>
          <w:color w:val="000000" w:themeColor="text1"/>
          <w:sz w:val="32"/>
          <w:szCs w:val="32"/>
          <w:highlight w:val="none"/>
          <w:lang w:val="en-US" w:eastAsia="zh-CN"/>
          <w14:textFill>
            <w14:solidFill>
              <w14:schemeClr w14:val="tx1"/>
            </w14:solidFill>
          </w14:textFill>
        </w:rPr>
      </w:pPr>
      <w:r>
        <w:rPr>
          <w:rFonts w:hint="eastAsia" w:ascii="楷体_GB2312" w:hAnsi="楷体_GB2312" w:eastAsia="楷体_GB2312" w:cs="楷体_GB2312"/>
          <w:color w:val="000000" w:themeColor="text1"/>
          <w:sz w:val="32"/>
          <w:szCs w:val="32"/>
          <w:highlight w:val="none"/>
          <w:lang w:val="en-US" w:eastAsia="zh-CN"/>
          <w14:textFill>
            <w14:solidFill>
              <w14:schemeClr w14:val="tx1"/>
            </w14:solidFill>
          </w14:textFill>
        </w:rPr>
        <w:t>（5）完成电子证照唯一标识改造。</w:t>
      </w:r>
    </w:p>
    <w:p>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根据国家局和省数据局数据推送标准，完成全省存量历史电子证照唯一标识改造。支持对新发证书，按标准规格自动生成唯一标识，满足国家、省电子证照校验标准。根据电子证照标准化、规范化要求，及时推进标准实施和相关升级改造工作，生成符合国家标准的电子证照，推进政务服务办件归档全程电子化管理。</w:t>
      </w:r>
    </w:p>
    <w:p>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楷体_GB2312" w:hAnsi="楷体_GB2312" w:eastAsia="楷体_GB2312" w:cs="楷体_GB2312"/>
          <w:color w:val="000000" w:themeColor="text1"/>
          <w:sz w:val="32"/>
          <w:szCs w:val="32"/>
          <w:lang w:val="en-US" w:eastAsia="zh-CN"/>
          <w14:textFill>
            <w14:solidFill>
              <w14:schemeClr w14:val="tx1"/>
            </w14:solidFill>
          </w14:textFill>
        </w:rPr>
      </w:pPr>
      <w:r>
        <w:rPr>
          <w:rFonts w:hint="eastAsia" w:ascii="楷体_GB2312" w:hAnsi="楷体_GB2312" w:eastAsia="楷体_GB2312" w:cs="楷体_GB2312"/>
          <w:color w:val="000000" w:themeColor="text1"/>
          <w:sz w:val="32"/>
          <w:szCs w:val="32"/>
          <w:lang w:val="en-US" w:eastAsia="zh-CN"/>
          <w14:textFill>
            <w14:solidFill>
              <w14:schemeClr w14:val="tx1"/>
            </w14:solidFill>
          </w14:textFill>
        </w:rPr>
        <w:t>5.3优化地市电子证书管理功能</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楷体_GB2312" w:hAnsi="楷体_GB2312" w:eastAsia="楷体_GB2312" w:cs="楷体_GB2312"/>
          <w:color w:val="000000" w:themeColor="text1"/>
          <w:sz w:val="32"/>
          <w:szCs w:val="32"/>
          <w:lang w:val="en-US" w:eastAsia="zh-CN"/>
          <w14:textFill>
            <w14:solidFill>
              <w14:schemeClr w14:val="tx1"/>
            </w14:solidFill>
          </w14:textFill>
        </w:rPr>
      </w:pPr>
      <w:r>
        <w:rPr>
          <w:rFonts w:hint="eastAsia" w:ascii="楷体_GB2312" w:hAnsi="楷体_GB2312" w:eastAsia="楷体_GB2312" w:cs="楷体_GB2312"/>
          <w:color w:val="000000" w:themeColor="text1"/>
          <w:sz w:val="32"/>
          <w:szCs w:val="32"/>
          <w:lang w:val="en-US" w:eastAsia="zh-CN"/>
          <w14:textFill>
            <w14:solidFill>
              <w14:schemeClr w14:val="tx1"/>
            </w14:solidFill>
          </w14:textFill>
        </w:rPr>
        <w:t>（1）优化地市数据录入功能。</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firstLine="640" w:firstLineChars="200"/>
        <w:jc w:val="left"/>
        <w:textAlignment w:val="auto"/>
        <w:rPr>
          <w:rFonts w:hint="default"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根据国家药品监督管理局数据推送要求，</w:t>
      </w:r>
      <w:r>
        <w:rPr>
          <w:rFonts w:hint="default" w:ascii="仿宋_GB2312" w:eastAsia="仿宋_GB2312"/>
          <w:color w:val="000000" w:themeColor="text1"/>
          <w:sz w:val="32"/>
          <w:szCs w:val="32"/>
          <w:lang w:val="en-US" w:eastAsia="zh-CN"/>
          <w14:textFill>
            <w14:solidFill>
              <w14:schemeClr w14:val="tx1"/>
            </w14:solidFill>
          </w14:textFill>
        </w:rPr>
        <w:t>建立严格数据录入标准</w:t>
      </w:r>
      <w:r>
        <w:rPr>
          <w:rFonts w:hint="eastAsia" w:ascii="仿宋_GB2312" w:eastAsia="仿宋_GB2312"/>
          <w:color w:val="000000" w:themeColor="text1"/>
          <w:sz w:val="32"/>
          <w:szCs w:val="32"/>
          <w:lang w:val="en-US" w:eastAsia="zh-CN"/>
          <w14:textFill>
            <w14:solidFill>
              <w14:schemeClr w14:val="tx1"/>
            </w14:solidFill>
          </w14:textFill>
        </w:rPr>
        <w:t>，支持通过</w:t>
      </w:r>
      <w:r>
        <w:rPr>
          <w:rFonts w:hint="default" w:ascii="仿宋_GB2312" w:eastAsia="仿宋_GB2312"/>
          <w:color w:val="000000" w:themeColor="text1"/>
          <w:sz w:val="32"/>
          <w:szCs w:val="32"/>
          <w:lang w:val="en-US" w:eastAsia="zh-CN"/>
          <w14:textFill>
            <w14:solidFill>
              <w14:schemeClr w14:val="tx1"/>
            </w14:solidFill>
          </w14:textFill>
        </w:rPr>
        <w:t>自动化工具</w:t>
      </w:r>
      <w:r>
        <w:rPr>
          <w:rFonts w:hint="eastAsia" w:ascii="仿宋_GB2312" w:eastAsia="仿宋_GB2312"/>
          <w:color w:val="000000" w:themeColor="text1"/>
          <w:sz w:val="32"/>
          <w:szCs w:val="32"/>
          <w:lang w:val="en-US" w:eastAsia="zh-CN"/>
          <w14:textFill>
            <w14:solidFill>
              <w14:schemeClr w14:val="tx1"/>
            </w14:solidFill>
          </w14:textFill>
        </w:rPr>
        <w:t>，系统自动校验</w:t>
      </w:r>
      <w:r>
        <w:rPr>
          <w:rFonts w:hint="default" w:ascii="仿宋_GB2312" w:eastAsia="仿宋_GB2312"/>
          <w:color w:val="000000" w:themeColor="text1"/>
          <w:sz w:val="32"/>
          <w:szCs w:val="32"/>
          <w:lang w:val="en-US" w:eastAsia="zh-CN"/>
          <w14:textFill>
            <w14:solidFill>
              <w14:schemeClr w14:val="tx1"/>
            </w14:solidFill>
          </w14:textFill>
        </w:rPr>
        <w:t>数据准确性和一致性，</w:t>
      </w:r>
      <w:r>
        <w:rPr>
          <w:rFonts w:hint="eastAsia" w:ascii="仿宋_GB2312" w:eastAsia="仿宋_GB2312"/>
          <w:color w:val="000000" w:themeColor="text1"/>
          <w:sz w:val="32"/>
          <w:szCs w:val="32"/>
          <w:lang w:val="en-US" w:eastAsia="zh-CN"/>
          <w14:textFill>
            <w14:solidFill>
              <w14:schemeClr w14:val="tx1"/>
            </w14:solidFill>
          </w14:textFill>
        </w:rPr>
        <w:t>对不符合数据规范的数据进行提示，</w:t>
      </w:r>
      <w:r>
        <w:rPr>
          <w:rFonts w:hint="default" w:ascii="仿宋_GB2312" w:eastAsia="仿宋_GB2312"/>
          <w:color w:val="000000" w:themeColor="text1"/>
          <w:sz w:val="32"/>
          <w:szCs w:val="32"/>
          <w:lang w:val="en-US" w:eastAsia="zh-CN"/>
          <w14:textFill>
            <w14:solidFill>
              <w14:schemeClr w14:val="tx1"/>
            </w14:solidFill>
          </w14:textFill>
        </w:rPr>
        <w:t>确保在创建证书时，所有相关数据遵循统一的数据格式和标准。</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firstLine="640" w:firstLineChars="200"/>
        <w:jc w:val="left"/>
        <w:textAlignment w:val="auto"/>
        <w:rPr>
          <w:rFonts w:hint="eastAsia" w:ascii="楷体_GB2312" w:hAnsi="楷体_GB2312" w:eastAsia="楷体_GB2312" w:cs="楷体_GB2312"/>
          <w:color w:val="000000" w:themeColor="text1"/>
          <w:sz w:val="32"/>
          <w:szCs w:val="32"/>
          <w:lang w:val="en-US" w:eastAsia="zh-CN"/>
          <w14:textFill>
            <w14:solidFill>
              <w14:schemeClr w14:val="tx1"/>
            </w14:solidFill>
          </w14:textFill>
        </w:rPr>
      </w:pPr>
      <w:r>
        <w:rPr>
          <w:rFonts w:hint="eastAsia" w:ascii="楷体_GB2312" w:hAnsi="楷体_GB2312" w:eastAsia="楷体_GB2312" w:cs="楷体_GB2312"/>
          <w:color w:val="000000" w:themeColor="text1"/>
          <w:sz w:val="32"/>
          <w:szCs w:val="32"/>
          <w:lang w:val="en-US" w:eastAsia="zh-CN"/>
          <w14:textFill>
            <w14:solidFill>
              <w14:schemeClr w14:val="tx1"/>
            </w14:solidFill>
          </w14:textFill>
        </w:rPr>
        <w:t>（2）优化地市数据维护功能。</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firstLine="640" w:firstLineChars="200"/>
        <w:textAlignment w:val="auto"/>
        <w:rPr>
          <w:rFonts w:hint="default"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升级</w:t>
      </w:r>
      <w:r>
        <w:rPr>
          <w:rFonts w:hint="default" w:ascii="仿宋_GB2312" w:eastAsia="仿宋_GB2312"/>
          <w:color w:val="000000" w:themeColor="text1"/>
          <w:sz w:val="32"/>
          <w:szCs w:val="32"/>
          <w:lang w:val="en-US" w:eastAsia="zh-CN"/>
          <w14:textFill>
            <w14:solidFill>
              <w14:schemeClr w14:val="tx1"/>
            </w14:solidFill>
          </w14:textFill>
        </w:rPr>
        <w:t>证书</w:t>
      </w:r>
      <w:r>
        <w:rPr>
          <w:rFonts w:hint="eastAsia" w:ascii="仿宋_GB2312" w:eastAsia="仿宋_GB2312"/>
          <w:color w:val="000000" w:themeColor="text1"/>
          <w:sz w:val="32"/>
          <w:szCs w:val="32"/>
          <w:lang w:val="en-US" w:eastAsia="zh-CN"/>
          <w14:textFill>
            <w14:solidFill>
              <w14:schemeClr w14:val="tx1"/>
            </w14:solidFill>
          </w14:textFill>
        </w:rPr>
        <w:t>数据</w:t>
      </w:r>
      <w:r>
        <w:rPr>
          <w:rFonts w:hint="default" w:ascii="仿宋_GB2312" w:eastAsia="仿宋_GB2312"/>
          <w:color w:val="000000" w:themeColor="text1"/>
          <w:sz w:val="32"/>
          <w:szCs w:val="32"/>
          <w:lang w:val="en-US" w:eastAsia="zh-CN"/>
          <w14:textFill>
            <w14:solidFill>
              <w14:schemeClr w14:val="tx1"/>
            </w14:solidFill>
          </w14:textFill>
        </w:rPr>
        <w:t>强制维护</w:t>
      </w:r>
      <w:r>
        <w:rPr>
          <w:rFonts w:hint="eastAsia" w:ascii="仿宋_GB2312" w:eastAsia="仿宋_GB2312"/>
          <w:color w:val="000000" w:themeColor="text1"/>
          <w:sz w:val="32"/>
          <w:szCs w:val="32"/>
          <w:lang w:val="en-US" w:eastAsia="zh-CN"/>
          <w14:textFill>
            <w14:solidFill>
              <w14:schemeClr w14:val="tx1"/>
            </w14:solidFill>
          </w14:textFill>
        </w:rPr>
        <w:t>功能，优化操作便利度和权限调整便利度。新增维护数据</w:t>
      </w:r>
      <w:r>
        <w:rPr>
          <w:rFonts w:hint="default" w:ascii="仿宋_GB2312" w:eastAsia="仿宋_GB2312"/>
          <w:color w:val="000000" w:themeColor="text1"/>
          <w:sz w:val="32"/>
          <w:szCs w:val="32"/>
          <w:lang w:val="en-US" w:eastAsia="zh-CN"/>
          <w14:textFill>
            <w14:solidFill>
              <w14:schemeClr w14:val="tx1"/>
            </w14:solidFill>
          </w14:textFill>
        </w:rPr>
        <w:t>自动审核</w:t>
      </w:r>
      <w:r>
        <w:rPr>
          <w:rFonts w:hint="eastAsia" w:ascii="仿宋_GB2312" w:eastAsia="仿宋_GB2312"/>
          <w:color w:val="000000" w:themeColor="text1"/>
          <w:sz w:val="32"/>
          <w:szCs w:val="32"/>
          <w:lang w:val="en-US" w:eastAsia="zh-CN"/>
          <w14:textFill>
            <w14:solidFill>
              <w14:schemeClr w14:val="tx1"/>
            </w14:solidFill>
          </w14:textFill>
        </w:rPr>
        <w:t>、盖章功能，系统支持通过对证书类型权限和角色权限的控制，实现地市局证书维护后自动审核，数据比对完成后实现自动盖章。</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firstLine="640" w:firstLineChars="200"/>
        <w:jc w:val="left"/>
        <w:textAlignment w:val="auto"/>
        <w:rPr>
          <w:rFonts w:hint="eastAsia" w:ascii="楷体_GB2312" w:hAnsi="楷体_GB2312" w:eastAsia="楷体_GB2312" w:cs="楷体_GB2312"/>
          <w:color w:val="000000"/>
          <w:sz w:val="32"/>
          <w:szCs w:val="32"/>
          <w:lang w:val="en-US" w:eastAsia="zh-CN"/>
        </w:rPr>
      </w:pPr>
      <w:r>
        <w:rPr>
          <w:rFonts w:hint="eastAsia" w:ascii="楷体_GB2312" w:hAnsi="楷体_GB2312" w:eastAsia="楷体_GB2312" w:cs="楷体_GB2312"/>
          <w:color w:val="000000" w:themeColor="text1"/>
          <w:sz w:val="32"/>
          <w:szCs w:val="32"/>
          <w:lang w:val="en-US" w:eastAsia="zh-CN"/>
          <w14:textFill>
            <w14:solidFill>
              <w14:schemeClr w14:val="tx1"/>
            </w14:solidFill>
          </w14:textFill>
        </w:rPr>
        <w:t>（3）新增存量数据补发电子证功能。</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系统支持存量证书数据批量导入功能，满足不同现状传统证照数据采集需求。对系统中现存的无电子证文件补录数据，根据地市权限，支持电子证照补发功能。</w:t>
      </w:r>
    </w:p>
    <w:p>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楷体_GB2312" w:hAnsi="楷体_GB2312" w:eastAsia="楷体_GB2312" w:cs="楷体_GB2312"/>
          <w:color w:val="000000" w:themeColor="text1"/>
          <w:sz w:val="32"/>
          <w:szCs w:val="32"/>
          <w:lang w:val="en-US" w:eastAsia="zh-CN"/>
          <w14:textFill>
            <w14:solidFill>
              <w14:schemeClr w14:val="tx1"/>
            </w14:solidFill>
          </w14:textFill>
        </w:rPr>
      </w:pPr>
      <w:r>
        <w:rPr>
          <w:rFonts w:hint="eastAsia" w:ascii="楷体_GB2312" w:hAnsi="楷体_GB2312" w:eastAsia="楷体_GB2312" w:cs="楷体_GB2312"/>
          <w:color w:val="000000"/>
          <w:sz w:val="32"/>
          <w:szCs w:val="32"/>
          <w:lang w:val="en-US" w:eastAsia="zh-CN"/>
        </w:rPr>
        <w:t>5.4升级</w:t>
      </w:r>
      <w:r>
        <w:rPr>
          <w:rFonts w:hint="eastAsia" w:ascii="楷体_GB2312" w:hAnsi="楷体_GB2312" w:eastAsia="楷体_GB2312" w:cs="楷体_GB2312"/>
          <w:color w:val="000000" w:themeColor="text1"/>
          <w:sz w:val="32"/>
          <w:szCs w:val="32"/>
          <w:lang w:val="en-US" w:eastAsia="zh-CN"/>
          <w14:textFill>
            <w14:solidFill>
              <w14:schemeClr w14:val="tx1"/>
            </w14:solidFill>
          </w14:textFill>
        </w:rPr>
        <w:t>电子证书盖章模式。</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leftChars="0" w:firstLine="640" w:firstLineChars="200"/>
        <w:textAlignment w:val="auto"/>
        <w:rPr>
          <w:rFonts w:hint="default" w:ascii="楷体_GB2312" w:hAnsi="楷体_GB2312" w:eastAsia="楷体_GB2312" w:cs="楷体_GB2312"/>
          <w:color w:val="000000"/>
          <w:sz w:val="32"/>
          <w:szCs w:val="32"/>
          <w:lang w:val="en-US" w:eastAsia="zh-CN"/>
        </w:rPr>
      </w:pPr>
      <w:r>
        <w:rPr>
          <w:rFonts w:hint="eastAsia" w:ascii="仿宋_GB2312" w:eastAsia="仿宋_GB2312"/>
          <w:color w:val="000000" w:themeColor="text1"/>
          <w:sz w:val="32"/>
          <w:szCs w:val="32"/>
          <w:lang w:val="en-US" w:eastAsia="zh-CN"/>
          <w14:textFill>
            <w14:solidFill>
              <w14:schemeClr w14:val="tx1"/>
            </w14:solidFill>
          </w14:textFill>
        </w:rPr>
        <w:t>升级电子证书盖章模式，将原使用Ukey调用签章的程序封装到系统页面，支持通过角色权限，手机短信动态验证码验证，直接调用电子签章，加强签章使用便捷性，解决地市Ukey丢失、人员变动无法盖章等问题。</w:t>
      </w:r>
    </w:p>
    <w:p>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default" w:ascii="仿宋_GB2312" w:eastAsia="仿宋_GB2312"/>
          <w:color w:val="000000"/>
          <w:sz w:val="32"/>
          <w:szCs w:val="32"/>
          <w:lang w:val="en-US" w:eastAsia="zh-CN"/>
        </w:rPr>
      </w:pPr>
      <w:r>
        <w:rPr>
          <w:rFonts w:hint="eastAsia" w:ascii="楷体_GB2312" w:hAnsi="楷体_GB2312" w:eastAsia="楷体_GB2312" w:cs="楷体_GB2312"/>
          <w:color w:val="000000"/>
          <w:sz w:val="32"/>
          <w:szCs w:val="32"/>
          <w:lang w:val="en-US" w:eastAsia="zh-CN"/>
        </w:rPr>
        <w:t>5.5新增电子证书数据交换监管模块</w:t>
      </w:r>
    </w:p>
    <w:p>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楷体_GB2312" w:hAnsi="楷体_GB2312" w:eastAsia="楷体_GB2312" w:cs="楷体_GB2312"/>
          <w:color w:val="000000"/>
          <w:sz w:val="32"/>
          <w:szCs w:val="32"/>
          <w:lang w:val="en-US" w:eastAsia="zh-CN"/>
        </w:rPr>
      </w:pPr>
      <w:r>
        <w:rPr>
          <w:rFonts w:hint="eastAsia" w:ascii="楷体_GB2312" w:hAnsi="楷体_GB2312" w:eastAsia="楷体_GB2312" w:cs="楷体_GB2312"/>
          <w:color w:val="000000"/>
          <w:sz w:val="32"/>
          <w:szCs w:val="32"/>
          <w:lang w:val="en-US" w:eastAsia="zh-CN"/>
        </w:rPr>
        <w:t>（1）新增数据交换监控功能。</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leftChars="0" w:firstLine="640" w:firstLineChars="200"/>
        <w:textAlignment w:val="auto"/>
        <w:rPr>
          <w:rFonts w:hint="default" w:ascii="仿宋_GB2312" w:eastAsia="仿宋_GB2312"/>
          <w:b w:val="0"/>
          <w:bCs w:val="0"/>
          <w:color w:val="000000"/>
          <w:sz w:val="32"/>
          <w:szCs w:val="32"/>
          <w:lang w:val="en-US" w:eastAsia="zh-CN"/>
        </w:rPr>
      </w:pPr>
      <w:r>
        <w:rPr>
          <w:rFonts w:hint="eastAsia" w:ascii="仿宋_GB2312" w:eastAsia="仿宋_GB2312"/>
          <w:b w:val="0"/>
          <w:bCs w:val="0"/>
          <w:color w:val="000000"/>
          <w:sz w:val="32"/>
          <w:szCs w:val="32"/>
          <w:lang w:val="en-US" w:eastAsia="zh-CN"/>
        </w:rPr>
        <w:t>系统支持从数据流角度，对数据库表、前置库间的数据交换流转情况进行监控。对推送至国家药监局、省数据局的</w:t>
      </w:r>
      <w:r>
        <w:rPr>
          <w:rFonts w:hint="default" w:ascii="仿宋_GB2312" w:eastAsia="仿宋_GB2312"/>
          <w:b w:val="0"/>
          <w:bCs w:val="0"/>
          <w:color w:val="000000"/>
          <w:sz w:val="32"/>
          <w:szCs w:val="32"/>
          <w:lang w:val="en-US" w:eastAsia="zh-CN"/>
        </w:rPr>
        <w:t>数据</w:t>
      </w:r>
      <w:r>
        <w:rPr>
          <w:rFonts w:hint="eastAsia" w:ascii="仿宋_GB2312" w:eastAsia="仿宋_GB2312"/>
          <w:b w:val="0"/>
          <w:bCs w:val="0"/>
          <w:color w:val="000000"/>
          <w:sz w:val="32"/>
          <w:szCs w:val="32"/>
          <w:lang w:val="en-US" w:eastAsia="zh-CN"/>
        </w:rPr>
        <w:t>和从省药监局行政审批、省药监局行政备案、省市场监督管理局行政审批、武汉市市场监督管理局行政备案等系统接收和推送的数据进行实时监控，包括但不限于数据</w:t>
      </w:r>
      <w:r>
        <w:rPr>
          <w:rFonts w:hint="default" w:ascii="仿宋_GB2312" w:eastAsia="仿宋_GB2312"/>
          <w:b w:val="0"/>
          <w:bCs w:val="0"/>
          <w:color w:val="000000"/>
          <w:sz w:val="32"/>
          <w:szCs w:val="32"/>
          <w:lang w:val="en-US" w:eastAsia="zh-CN"/>
        </w:rPr>
        <w:t>流动状态、速度、完整性</w:t>
      </w:r>
      <w:r>
        <w:rPr>
          <w:rFonts w:hint="eastAsia" w:ascii="仿宋_GB2312" w:eastAsia="仿宋_GB2312"/>
          <w:b w:val="0"/>
          <w:bCs w:val="0"/>
          <w:color w:val="000000"/>
          <w:sz w:val="32"/>
          <w:szCs w:val="32"/>
          <w:lang w:val="en-US" w:eastAsia="zh-CN"/>
        </w:rPr>
        <w:t>，数据推送接收数量、质量、时间等</w:t>
      </w:r>
      <w:r>
        <w:rPr>
          <w:rFonts w:hint="default" w:ascii="仿宋_GB2312" w:eastAsia="仿宋_GB2312"/>
          <w:b w:val="0"/>
          <w:bCs w:val="0"/>
          <w:color w:val="000000"/>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default" w:ascii="楷体_GB2312" w:hAnsi="楷体_GB2312" w:eastAsia="楷体_GB2312" w:cs="楷体_GB2312"/>
          <w:color w:val="000000"/>
          <w:sz w:val="32"/>
          <w:szCs w:val="32"/>
          <w:lang w:val="en-US" w:eastAsia="zh-CN"/>
        </w:rPr>
      </w:pPr>
      <w:r>
        <w:rPr>
          <w:rFonts w:hint="eastAsia" w:ascii="楷体_GB2312" w:hAnsi="楷体_GB2312" w:eastAsia="楷体_GB2312" w:cs="楷体_GB2312"/>
          <w:color w:val="000000"/>
          <w:sz w:val="32"/>
          <w:szCs w:val="32"/>
          <w:lang w:val="en-US" w:eastAsia="zh-CN"/>
        </w:rPr>
        <w:t>（2）新增接口运行监控功能。</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leftChars="0" w:firstLine="640" w:firstLineChars="200"/>
        <w:textAlignment w:val="auto"/>
        <w:rPr>
          <w:rFonts w:hint="default" w:ascii="仿宋_GB2312" w:eastAsia="仿宋_GB2312"/>
          <w:b w:val="0"/>
          <w:bCs w:val="0"/>
          <w:color w:val="000000" w:themeColor="text1"/>
          <w:sz w:val="32"/>
          <w:szCs w:val="32"/>
          <w:lang w:val="en-US" w:eastAsia="zh-CN"/>
          <w14:textFill>
            <w14:solidFill>
              <w14:schemeClr w14:val="tx1"/>
            </w14:solidFill>
          </w14:textFill>
        </w:rPr>
      </w:pPr>
      <w:r>
        <w:rPr>
          <w:rFonts w:hint="eastAsia" w:ascii="仿宋_GB2312" w:eastAsia="仿宋_GB2312"/>
          <w:b w:val="0"/>
          <w:bCs w:val="0"/>
          <w:color w:val="000000" w:themeColor="text1"/>
          <w:sz w:val="32"/>
          <w:szCs w:val="32"/>
          <w:lang w:val="en-US" w:eastAsia="zh-CN"/>
          <w14:textFill>
            <w14:solidFill>
              <w14:schemeClr w14:val="tx1"/>
            </w14:solidFill>
          </w14:textFill>
        </w:rPr>
        <w:t>对各业务系统（国家药监局、省数据局电子证照库、省药监局行政审批、省药监局行政备案、省市场监督管理局行政审批和武汉市市场监督管理局行政备案等系统）间的接口运行情况进行监控，对接口异常或非常规调用等情况进行识别监控。</w:t>
      </w:r>
    </w:p>
    <w:p>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default" w:ascii="楷体_GB2312" w:hAnsi="楷体_GB2312" w:eastAsia="楷体_GB2312" w:cs="楷体_GB2312"/>
          <w:color w:val="000000" w:themeColor="text1"/>
          <w:sz w:val="32"/>
          <w:szCs w:val="32"/>
          <w:lang w:val="en-US" w:eastAsia="zh-CN"/>
          <w14:textFill>
            <w14:solidFill>
              <w14:schemeClr w14:val="tx1"/>
            </w14:solidFill>
          </w14:textFill>
        </w:rPr>
      </w:pPr>
      <w:r>
        <w:rPr>
          <w:rFonts w:hint="eastAsia" w:ascii="楷体_GB2312" w:hAnsi="楷体_GB2312" w:eastAsia="楷体_GB2312" w:cs="楷体_GB2312"/>
          <w:color w:val="000000" w:themeColor="text1"/>
          <w:sz w:val="32"/>
          <w:szCs w:val="32"/>
          <w:lang w:val="en-US" w:eastAsia="zh-CN"/>
          <w14:textFill>
            <w14:solidFill>
              <w14:schemeClr w14:val="tx1"/>
            </w14:solidFill>
          </w14:textFill>
        </w:rPr>
        <w:t>（3）新增异常数据预警功能。</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leftChars="0" w:firstLine="640" w:firstLineChars="200"/>
        <w:textAlignment w:val="auto"/>
        <w:rPr>
          <w:rFonts w:hint="default" w:ascii="仿宋_GB2312" w:eastAsia="仿宋_GB2312"/>
          <w:b w:val="0"/>
          <w:bCs w:val="0"/>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新增重复证书数据预警，支持对当前证书系统中同一企业同一类证书类型校验，确保一企一证。新增注销企业预警，支持通过对当前企业状态（存续、注销）校验，对已经注销营业执照的企业所关联其他药品、医疗器械或化妆品证书进行预警提示。</w:t>
      </w:r>
      <w:r>
        <w:rPr>
          <w:rFonts w:hint="eastAsia" w:ascii="仿宋_GB2312" w:eastAsia="仿宋_GB2312"/>
          <w:b w:val="0"/>
          <w:bCs w:val="0"/>
          <w:color w:val="000000" w:themeColor="text1"/>
          <w:sz w:val="32"/>
          <w:szCs w:val="32"/>
          <w:lang w:val="en-US" w:eastAsia="zh-CN"/>
          <w14:textFill>
            <w14:solidFill>
              <w14:schemeClr w14:val="tx1"/>
            </w14:solidFill>
          </w14:textFill>
        </w:rPr>
        <w:t>新增</w:t>
      </w:r>
      <w:r>
        <w:rPr>
          <w:rFonts w:hint="default" w:ascii="仿宋_GB2312" w:eastAsia="仿宋_GB2312"/>
          <w:b w:val="0"/>
          <w:bCs w:val="0"/>
          <w:color w:val="000000" w:themeColor="text1"/>
          <w:sz w:val="32"/>
          <w:szCs w:val="32"/>
          <w:lang w:val="en-US" w:eastAsia="zh-CN"/>
          <w14:textFill>
            <w14:solidFill>
              <w14:schemeClr w14:val="tx1"/>
            </w14:solidFill>
          </w14:textFill>
        </w:rPr>
        <w:t>丢失</w:t>
      </w:r>
      <w:r>
        <w:rPr>
          <w:rFonts w:hint="eastAsia" w:ascii="仿宋_GB2312" w:eastAsia="仿宋_GB2312"/>
          <w:b w:val="0"/>
          <w:bCs w:val="0"/>
          <w:color w:val="000000" w:themeColor="text1"/>
          <w:sz w:val="32"/>
          <w:szCs w:val="32"/>
          <w:lang w:val="en-US" w:eastAsia="zh-CN"/>
          <w14:textFill>
            <w14:solidFill>
              <w14:schemeClr w14:val="tx1"/>
            </w14:solidFill>
          </w14:textFill>
        </w:rPr>
        <w:t>数据</w:t>
      </w:r>
      <w:r>
        <w:rPr>
          <w:rFonts w:hint="default" w:ascii="仿宋_GB2312" w:eastAsia="仿宋_GB2312"/>
          <w:b w:val="0"/>
          <w:bCs w:val="0"/>
          <w:color w:val="000000" w:themeColor="text1"/>
          <w:sz w:val="32"/>
          <w:szCs w:val="32"/>
          <w:lang w:val="en-US" w:eastAsia="zh-CN"/>
          <w14:textFill>
            <w14:solidFill>
              <w14:schemeClr w14:val="tx1"/>
            </w14:solidFill>
          </w14:textFill>
        </w:rPr>
        <w:t>、延迟</w:t>
      </w:r>
      <w:r>
        <w:rPr>
          <w:rFonts w:hint="eastAsia" w:ascii="仿宋_GB2312" w:eastAsia="仿宋_GB2312"/>
          <w:b w:val="0"/>
          <w:bCs w:val="0"/>
          <w:color w:val="000000" w:themeColor="text1"/>
          <w:sz w:val="32"/>
          <w:szCs w:val="32"/>
          <w:lang w:val="en-US" w:eastAsia="zh-CN"/>
          <w14:textFill>
            <w14:solidFill>
              <w14:schemeClr w14:val="tx1"/>
            </w14:solidFill>
          </w14:textFill>
        </w:rPr>
        <w:t>推送等异常状态数据预警功能</w:t>
      </w:r>
      <w:r>
        <w:rPr>
          <w:rFonts w:hint="default" w:ascii="仿宋_GB2312" w:eastAsia="仿宋_GB2312"/>
          <w:b w:val="0"/>
          <w:bCs w:val="0"/>
          <w:color w:val="000000" w:themeColor="text1"/>
          <w:sz w:val="32"/>
          <w:szCs w:val="32"/>
          <w:lang w:val="en-US" w:eastAsia="zh-CN"/>
          <w14:textFill>
            <w14:solidFill>
              <w14:schemeClr w14:val="tx1"/>
            </w14:solidFill>
          </w14:textFill>
        </w:rPr>
        <w:t>，确保数据交换的准确性</w:t>
      </w:r>
      <w:r>
        <w:rPr>
          <w:rFonts w:hint="eastAsia" w:ascii="仿宋_GB2312" w:eastAsia="仿宋_GB2312"/>
          <w:b w:val="0"/>
          <w:bCs w:val="0"/>
          <w:color w:val="000000" w:themeColor="text1"/>
          <w:sz w:val="32"/>
          <w:szCs w:val="32"/>
          <w:lang w:val="en-US" w:eastAsia="zh-CN"/>
          <w14:textFill>
            <w14:solidFill>
              <w14:schemeClr w14:val="tx1"/>
            </w14:solidFill>
          </w14:textFill>
        </w:rPr>
        <w:t>、及时</w:t>
      </w:r>
      <w:r>
        <w:rPr>
          <w:rFonts w:hint="default" w:ascii="仿宋_GB2312" w:eastAsia="仿宋_GB2312"/>
          <w:b w:val="0"/>
          <w:bCs w:val="0"/>
          <w:color w:val="000000" w:themeColor="text1"/>
          <w:sz w:val="32"/>
          <w:szCs w:val="32"/>
          <w:lang w:val="en-US" w:eastAsia="zh-CN"/>
          <w14:textFill>
            <w14:solidFill>
              <w14:schemeClr w14:val="tx1"/>
            </w14:solidFill>
          </w14:textFill>
        </w:rPr>
        <w:t>性</w:t>
      </w:r>
      <w:r>
        <w:rPr>
          <w:rFonts w:hint="eastAsia" w:ascii="仿宋_GB2312" w:eastAsia="仿宋_GB2312"/>
          <w:b w:val="0"/>
          <w:bCs w:val="0"/>
          <w:color w:val="000000" w:themeColor="text1"/>
          <w:sz w:val="32"/>
          <w:szCs w:val="32"/>
          <w:lang w:val="en-US" w:eastAsia="zh-CN"/>
          <w14:textFill>
            <w14:solidFill>
              <w14:schemeClr w14:val="tx1"/>
            </w14:solidFill>
          </w14:textFill>
        </w:rPr>
        <w:t>、完整性</w:t>
      </w:r>
      <w:r>
        <w:rPr>
          <w:rFonts w:hint="default" w:ascii="仿宋_GB2312" w:eastAsia="仿宋_GB2312"/>
          <w:b w:val="0"/>
          <w:bCs w:val="0"/>
          <w:color w:val="000000" w:themeColor="text1"/>
          <w:sz w:val="32"/>
          <w:szCs w:val="32"/>
          <w:lang w:val="en-US"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楷体_GB2312" w:hAnsi="楷体_GB2312" w:eastAsia="楷体_GB2312" w:cs="楷体_GB2312"/>
          <w:color w:val="000000"/>
          <w:sz w:val="32"/>
          <w:szCs w:val="32"/>
          <w:lang w:val="en-US" w:eastAsia="zh-CN"/>
        </w:rPr>
      </w:pPr>
      <w:r>
        <w:rPr>
          <w:rFonts w:hint="eastAsia" w:ascii="楷体_GB2312" w:hAnsi="楷体_GB2312" w:eastAsia="楷体_GB2312" w:cs="楷体_GB2312"/>
          <w:color w:val="000000"/>
          <w:sz w:val="32"/>
          <w:szCs w:val="32"/>
          <w:lang w:val="en-US" w:eastAsia="zh-CN"/>
        </w:rPr>
        <w:t>（4）新增监测日志查看功能。</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leftChars="0" w:firstLine="640" w:firstLineChars="200"/>
        <w:textAlignment w:val="auto"/>
        <w:rPr>
          <w:rFonts w:hint="default"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新增</w:t>
      </w:r>
      <w:r>
        <w:rPr>
          <w:rFonts w:hint="default" w:ascii="仿宋_GB2312" w:eastAsia="仿宋_GB2312"/>
          <w:color w:val="000000" w:themeColor="text1"/>
          <w:sz w:val="32"/>
          <w:szCs w:val="32"/>
          <w:lang w:val="en-US" w:eastAsia="zh-CN"/>
          <w14:textFill>
            <w14:solidFill>
              <w14:schemeClr w14:val="tx1"/>
            </w14:solidFill>
          </w14:textFill>
        </w:rPr>
        <w:t>数据交换监测日志详细信息</w:t>
      </w:r>
      <w:r>
        <w:rPr>
          <w:rFonts w:hint="eastAsia" w:ascii="仿宋_GB2312" w:eastAsia="仿宋_GB2312"/>
          <w:color w:val="000000" w:themeColor="text1"/>
          <w:sz w:val="32"/>
          <w:szCs w:val="32"/>
          <w:lang w:val="en-US" w:eastAsia="zh-CN"/>
          <w14:textFill>
            <w14:solidFill>
              <w14:schemeClr w14:val="tx1"/>
            </w14:solidFill>
          </w14:textFill>
        </w:rPr>
        <w:t>查看功能</w:t>
      </w:r>
      <w:r>
        <w:rPr>
          <w:rFonts w:hint="default" w:ascii="仿宋_GB2312" w:eastAsia="仿宋_GB2312"/>
          <w:color w:val="000000" w:themeColor="text1"/>
          <w:sz w:val="32"/>
          <w:szCs w:val="32"/>
          <w:lang w:val="en-US" w:eastAsia="zh-CN"/>
          <w14:textFill>
            <w14:solidFill>
              <w14:schemeClr w14:val="tx1"/>
            </w14:solidFill>
          </w14:textFill>
        </w:rPr>
        <w:t>，包括</w:t>
      </w:r>
      <w:r>
        <w:rPr>
          <w:rFonts w:hint="eastAsia" w:ascii="仿宋_GB2312" w:eastAsia="仿宋_GB2312"/>
          <w:color w:val="000000" w:themeColor="text1"/>
          <w:sz w:val="32"/>
          <w:szCs w:val="32"/>
          <w:lang w:val="en-US" w:eastAsia="zh-CN"/>
          <w14:textFill>
            <w14:solidFill>
              <w14:schemeClr w14:val="tx1"/>
            </w14:solidFill>
          </w14:textFill>
        </w:rPr>
        <w:t>但不限于数据交换</w:t>
      </w:r>
      <w:r>
        <w:rPr>
          <w:rFonts w:hint="default" w:ascii="仿宋_GB2312" w:eastAsia="仿宋_GB2312"/>
          <w:color w:val="000000" w:themeColor="text1"/>
          <w:sz w:val="32"/>
          <w:szCs w:val="32"/>
          <w:lang w:val="en-US" w:eastAsia="zh-CN"/>
          <w14:textFill>
            <w14:solidFill>
              <w14:schemeClr w14:val="tx1"/>
            </w14:solidFill>
          </w14:textFill>
        </w:rPr>
        <w:t>时间、来源、目标、内容等，确保数据的合规性和可信度。</w:t>
      </w:r>
      <w:r>
        <w:rPr>
          <w:rFonts w:hint="eastAsia" w:ascii="仿宋_GB2312" w:eastAsia="仿宋_GB2312"/>
          <w:color w:val="000000" w:themeColor="text1"/>
          <w:sz w:val="32"/>
          <w:szCs w:val="32"/>
          <w:lang w:val="en-US" w:eastAsia="zh-CN"/>
          <w14:textFill>
            <w14:solidFill>
              <w14:schemeClr w14:val="tx1"/>
            </w14:solidFill>
          </w14:textFill>
        </w:rPr>
        <w:t>新增</w:t>
      </w:r>
      <w:r>
        <w:rPr>
          <w:rFonts w:hint="default" w:ascii="仿宋_GB2312" w:eastAsia="仿宋_GB2312"/>
          <w:color w:val="000000" w:themeColor="text1"/>
          <w:sz w:val="32"/>
          <w:szCs w:val="32"/>
          <w:lang w:val="en-US" w:eastAsia="zh-CN"/>
          <w14:textFill>
            <w14:solidFill>
              <w14:schemeClr w14:val="tx1"/>
            </w14:solidFill>
          </w14:textFill>
        </w:rPr>
        <w:t>数据交换</w:t>
      </w:r>
      <w:r>
        <w:rPr>
          <w:rFonts w:hint="eastAsia" w:ascii="仿宋_GB2312" w:eastAsia="仿宋_GB2312"/>
          <w:color w:val="000000" w:themeColor="text1"/>
          <w:sz w:val="32"/>
          <w:szCs w:val="32"/>
          <w:lang w:val="en-US" w:eastAsia="zh-CN"/>
          <w14:textFill>
            <w14:solidFill>
              <w14:schemeClr w14:val="tx1"/>
            </w14:solidFill>
          </w14:textFill>
        </w:rPr>
        <w:t>监管</w:t>
      </w:r>
      <w:r>
        <w:rPr>
          <w:rFonts w:hint="default" w:ascii="仿宋_GB2312" w:eastAsia="仿宋_GB2312"/>
          <w:color w:val="000000" w:themeColor="text1"/>
          <w:sz w:val="32"/>
          <w:szCs w:val="32"/>
          <w:lang w:val="en-US" w:eastAsia="zh-CN"/>
          <w14:textFill>
            <w14:solidFill>
              <w14:schemeClr w14:val="tx1"/>
            </w14:solidFill>
          </w14:textFill>
        </w:rPr>
        <w:t>统计</w:t>
      </w:r>
      <w:r>
        <w:rPr>
          <w:rFonts w:hint="eastAsia" w:ascii="仿宋_GB2312" w:eastAsia="仿宋_GB2312"/>
          <w:color w:val="000000" w:themeColor="text1"/>
          <w:sz w:val="32"/>
          <w:szCs w:val="32"/>
          <w:lang w:val="en-US" w:eastAsia="zh-CN"/>
          <w14:textFill>
            <w14:solidFill>
              <w14:schemeClr w14:val="tx1"/>
            </w14:solidFill>
          </w14:textFill>
        </w:rPr>
        <w:t>功能</w:t>
      </w:r>
      <w:r>
        <w:rPr>
          <w:rFonts w:hint="default" w:ascii="仿宋_GB2312" w:eastAsia="仿宋_GB2312"/>
          <w:color w:val="000000" w:themeColor="text1"/>
          <w:sz w:val="32"/>
          <w:szCs w:val="32"/>
          <w:lang w:val="en-US" w:eastAsia="zh-CN"/>
          <w14:textFill>
            <w14:solidFill>
              <w14:schemeClr w14:val="tx1"/>
            </w14:solidFill>
          </w14:textFill>
        </w:rPr>
        <w:t>，</w:t>
      </w:r>
      <w:r>
        <w:rPr>
          <w:rFonts w:hint="eastAsia" w:ascii="仿宋_GB2312" w:eastAsia="仿宋_GB2312"/>
          <w:color w:val="000000" w:themeColor="text1"/>
          <w:sz w:val="32"/>
          <w:szCs w:val="32"/>
          <w:lang w:val="en-US" w:eastAsia="zh-CN"/>
          <w14:textFill>
            <w14:solidFill>
              <w14:schemeClr w14:val="tx1"/>
            </w14:solidFill>
          </w14:textFill>
        </w:rPr>
        <w:t>以图表等多形式展现</w:t>
      </w:r>
      <w:r>
        <w:rPr>
          <w:rFonts w:hint="default" w:ascii="仿宋_GB2312" w:eastAsia="仿宋_GB2312"/>
          <w:color w:val="000000" w:themeColor="text1"/>
          <w:sz w:val="32"/>
          <w:szCs w:val="32"/>
          <w:lang w:val="en-US" w:eastAsia="zh-CN"/>
          <w14:textFill>
            <w14:solidFill>
              <w14:schemeClr w14:val="tx1"/>
            </w14:solidFill>
          </w14:textFill>
        </w:rPr>
        <w:t>交换量、成功率、异常率等</w:t>
      </w:r>
      <w:r>
        <w:rPr>
          <w:rFonts w:hint="eastAsia" w:ascii="仿宋_GB2312" w:eastAsia="仿宋_GB2312"/>
          <w:color w:val="000000" w:themeColor="text1"/>
          <w:sz w:val="32"/>
          <w:szCs w:val="32"/>
          <w:lang w:val="en-US" w:eastAsia="zh-CN"/>
          <w14:textFill>
            <w14:solidFill>
              <w14:schemeClr w14:val="tx1"/>
            </w14:solidFill>
          </w14:textFill>
        </w:rPr>
        <w:t>数据交换情况</w:t>
      </w:r>
      <w:r>
        <w:rPr>
          <w:rFonts w:hint="default" w:ascii="仿宋_GB2312" w:eastAsia="仿宋_GB2312"/>
          <w:color w:val="000000" w:themeColor="text1"/>
          <w:sz w:val="32"/>
          <w:szCs w:val="32"/>
          <w:lang w:val="en-US"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楷体_GB2312" w:hAnsi="楷体_GB2312" w:eastAsia="楷体_GB2312" w:cs="楷体_GB2312"/>
          <w:color w:val="000000"/>
          <w:sz w:val="32"/>
          <w:szCs w:val="32"/>
          <w:lang w:val="en-US" w:eastAsia="zh-CN"/>
        </w:rPr>
      </w:pPr>
      <w:r>
        <w:rPr>
          <w:rFonts w:hint="eastAsia" w:ascii="楷体_GB2312" w:hAnsi="楷体_GB2312" w:eastAsia="楷体_GB2312" w:cs="楷体_GB2312"/>
          <w:color w:val="000000"/>
          <w:sz w:val="32"/>
          <w:szCs w:val="32"/>
          <w:lang w:val="en-US" w:eastAsia="zh-CN"/>
        </w:rPr>
        <w:t>5.6日常运维保障</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firstLine="620" w:firstLineChars="200"/>
        <w:jc w:val="both"/>
        <w:textAlignment w:val="auto"/>
        <w:rPr>
          <w:rFonts w:hint="eastAsia" w:ascii="仿宋_GB2312" w:hAnsi="仿宋_GB2312" w:eastAsia="仿宋_GB2312" w:cs="仿宋_GB2312"/>
          <w:color w:val="000000"/>
          <w:kern w:val="0"/>
          <w:sz w:val="31"/>
          <w:szCs w:val="31"/>
          <w:lang w:val="en-US" w:eastAsia="zh-CN" w:bidi="ar"/>
        </w:rPr>
      </w:pPr>
      <w:r>
        <w:rPr>
          <w:rFonts w:hint="eastAsia" w:ascii="仿宋_GB2312" w:hAnsi="仿宋_GB2312" w:eastAsia="仿宋_GB2312" w:cs="仿宋_GB2312"/>
          <w:color w:val="000000"/>
          <w:kern w:val="0"/>
          <w:sz w:val="31"/>
          <w:szCs w:val="31"/>
          <w:lang w:val="en-US" w:eastAsia="zh-CN" w:bidi="ar"/>
        </w:rPr>
        <w:t>做好电子证书系统和电子证书公示平台运维保障和数据安全保障工作，及时解决省、市（州）、区（县）工作人员和企业提出的问题，确保电子证书系统和电子证书公示平台各功能模块正常稳定运行。至少提供1名专职技术人员，驻场负责日常企业咨询、地市问题数据处理以及省本级证书盖章问题等。</w:t>
      </w:r>
    </w:p>
    <w:p>
      <w:pPr>
        <w:pStyle w:val="4"/>
        <w:pageBreakBefore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黑体" w:eastAsia="仿宋_GB2312" w:cs="Times New Roman"/>
          <w:b/>
          <w:bCs/>
          <w:color w:val="000000" w:themeColor="text1"/>
          <w:kern w:val="2"/>
          <w:sz w:val="32"/>
          <w:szCs w:val="32"/>
          <w:lang w:val="en-US" w:eastAsia="zh-CN" w:bidi="ar-SA"/>
          <w14:textFill>
            <w14:solidFill>
              <w14:schemeClr w14:val="tx1"/>
            </w14:solidFill>
          </w14:textFill>
        </w:rPr>
      </w:pPr>
      <w:r>
        <w:rPr>
          <w:rFonts w:hint="eastAsia" w:ascii="黑体" w:hAnsi="黑体" w:eastAsia="黑体" w:cs="黑体"/>
          <w:b w:val="0"/>
          <w:bCs w:val="0"/>
          <w:color w:val="000000" w:themeColor="text1"/>
          <w:sz w:val="32"/>
          <w:szCs w:val="32"/>
          <w:lang w:val="zh-CN"/>
          <w14:textFill>
            <w14:solidFill>
              <w14:schemeClr w14:val="tx1"/>
            </w14:solidFill>
          </w14:textFill>
        </w:rPr>
        <w:t>六、商务要求</w:t>
      </w:r>
    </w:p>
    <w:p>
      <w:pPr>
        <w:pStyle w:val="5"/>
        <w:pageBreakBefore w:val="0"/>
        <w:kinsoku/>
        <w:wordWrap/>
        <w:overflowPunct/>
        <w:topLinePunct w:val="0"/>
        <w:autoSpaceDE/>
        <w:autoSpaceDN/>
        <w:bidi w:val="0"/>
        <w:adjustRightInd/>
        <w:snapToGrid/>
        <w:spacing w:beforeAutospacing="0" w:afterAutospacing="0" w:line="600" w:lineRule="exact"/>
        <w:ind w:firstLine="643" w:firstLineChars="200"/>
        <w:textAlignment w:val="auto"/>
        <w:rPr>
          <w:rFonts w:hint="eastAsia" w:ascii="仿宋_GB2312" w:hAnsi="黑体" w:eastAsia="仿宋_GB2312" w:cs="Times New Roman"/>
          <w:b/>
          <w:bCs/>
          <w:color w:val="000000" w:themeColor="text1"/>
          <w:kern w:val="2"/>
          <w:sz w:val="32"/>
          <w:szCs w:val="32"/>
          <w:lang w:val="en-US" w:eastAsia="zh-CN" w:bidi="ar-SA"/>
          <w14:textFill>
            <w14:solidFill>
              <w14:schemeClr w14:val="tx1"/>
            </w14:solidFill>
          </w14:textFill>
        </w:rPr>
      </w:pPr>
      <w:r>
        <w:rPr>
          <w:rFonts w:hint="eastAsia" w:ascii="仿宋_GB2312" w:hAnsi="黑体" w:eastAsia="仿宋_GB2312" w:cs="Times New Roman"/>
          <w:b/>
          <w:bCs/>
          <w:color w:val="000000" w:themeColor="text1"/>
          <w:kern w:val="2"/>
          <w:sz w:val="32"/>
          <w:szCs w:val="32"/>
          <w:lang w:val="en-US" w:eastAsia="zh-CN" w:bidi="ar-SA"/>
          <w14:textFill>
            <w14:solidFill>
              <w14:schemeClr w14:val="tx1"/>
            </w14:solidFill>
          </w14:textFill>
        </w:rPr>
        <w:t>6.1项目工期</w:t>
      </w:r>
    </w:p>
    <w:p>
      <w:pPr>
        <w:pageBreakBefore w:val="0"/>
        <w:kinsoku/>
        <w:wordWrap/>
        <w:overflowPunct/>
        <w:topLinePunct w:val="0"/>
        <w:autoSpaceDE/>
        <w:autoSpaceDN/>
        <w:bidi w:val="0"/>
        <w:adjustRightInd/>
        <w:snapToGrid/>
        <w:spacing w:beforeAutospacing="0" w:afterAutospacing="0" w:line="600" w:lineRule="exact"/>
        <w:ind w:firstLine="640" w:firstLineChars="200"/>
        <w:textAlignment w:val="auto"/>
        <w:rPr>
          <w:rFonts w:ascii="仿宋_GB2312" w:hAnsi="黑体" w:eastAsia="仿宋_GB2312" w:cs="仿宋_GB2312"/>
          <w:color w:val="000000" w:themeColor="text1"/>
          <w:sz w:val="32"/>
          <w:szCs w:val="32"/>
          <w14:textFill>
            <w14:solidFill>
              <w14:schemeClr w14:val="tx1"/>
            </w14:solidFill>
          </w14:textFill>
        </w:rPr>
      </w:pPr>
      <w:r>
        <w:rPr>
          <w:rFonts w:hint="eastAsia" w:ascii="仿宋_GB2312" w:hAnsi="黑体" w:eastAsia="仿宋_GB2312" w:cs="仿宋_GB2312"/>
          <w:color w:val="000000" w:themeColor="text1"/>
          <w:sz w:val="32"/>
          <w:szCs w:val="32"/>
          <w14:textFill>
            <w14:solidFill>
              <w14:schemeClr w14:val="tx1"/>
            </w14:solidFill>
          </w14:textFill>
        </w:rPr>
        <w:t>项目服务期</w:t>
      </w:r>
      <w:r>
        <w:rPr>
          <w:rFonts w:hint="eastAsia" w:ascii="仿宋_GB2312" w:hAnsi="黑体" w:eastAsia="仿宋_GB2312" w:cs="仿宋_GB2312"/>
          <w:color w:val="000000" w:themeColor="text1"/>
          <w:sz w:val="32"/>
          <w:szCs w:val="32"/>
          <w:lang w:val="en-US" w:eastAsia="zh-CN"/>
          <w14:textFill>
            <w14:solidFill>
              <w14:schemeClr w14:val="tx1"/>
            </w14:solidFill>
          </w14:textFill>
        </w:rPr>
        <w:t>1年</w:t>
      </w:r>
      <w:r>
        <w:rPr>
          <w:rFonts w:hint="eastAsia" w:ascii="仿宋_GB2312" w:hAnsi="黑体" w:eastAsia="仿宋_GB2312"/>
          <w:color w:val="000000" w:themeColor="text1"/>
          <w:sz w:val="32"/>
          <w:szCs w:val="32"/>
          <w14:textFill>
            <w14:solidFill>
              <w14:schemeClr w14:val="tx1"/>
            </w14:solidFill>
          </w14:textFill>
        </w:rPr>
        <w:t>（自合同签订之日起开始计算）</w:t>
      </w:r>
      <w:r>
        <w:rPr>
          <w:rFonts w:hint="eastAsia" w:ascii="仿宋_GB2312" w:hAnsi="黑体" w:eastAsia="仿宋_GB2312" w:cs="仿宋_GB2312"/>
          <w:color w:val="000000" w:themeColor="text1"/>
          <w:sz w:val="32"/>
          <w:szCs w:val="32"/>
          <w14:textFill>
            <w14:solidFill>
              <w14:schemeClr w14:val="tx1"/>
            </w14:solidFill>
          </w14:textFill>
        </w:rPr>
        <w:t>。</w:t>
      </w:r>
    </w:p>
    <w:p>
      <w:pPr>
        <w:pStyle w:val="5"/>
        <w:pageBreakBefore w:val="0"/>
        <w:kinsoku/>
        <w:wordWrap/>
        <w:overflowPunct/>
        <w:topLinePunct w:val="0"/>
        <w:autoSpaceDE/>
        <w:autoSpaceDN/>
        <w:bidi w:val="0"/>
        <w:adjustRightInd/>
        <w:snapToGrid/>
        <w:spacing w:beforeAutospacing="0" w:afterAutospacing="0" w:line="600" w:lineRule="exact"/>
        <w:ind w:firstLine="643" w:firstLineChars="200"/>
        <w:textAlignment w:val="auto"/>
        <w:rPr>
          <w:rFonts w:ascii="仿宋_GB2312" w:hAnsi="黑体" w:eastAsia="仿宋_GB2312"/>
          <w:color w:val="000000" w:themeColor="text1"/>
          <w14:textFill>
            <w14:solidFill>
              <w14:schemeClr w14:val="tx1"/>
            </w14:solidFill>
          </w14:textFill>
        </w:rPr>
      </w:pPr>
      <w:r>
        <w:rPr>
          <w:rFonts w:hint="eastAsia" w:ascii="仿宋_GB2312" w:hAnsi="黑体" w:eastAsia="仿宋_GB2312"/>
          <w:color w:val="000000" w:themeColor="text1"/>
          <w:lang w:val="en-US" w:eastAsia="zh-CN"/>
          <w14:textFill>
            <w14:solidFill>
              <w14:schemeClr w14:val="tx1"/>
            </w14:solidFill>
          </w14:textFill>
        </w:rPr>
        <w:t>6</w:t>
      </w:r>
      <w:r>
        <w:rPr>
          <w:rFonts w:hint="eastAsia" w:ascii="仿宋_GB2312" w:hAnsi="黑体" w:eastAsia="仿宋_GB2312"/>
          <w:color w:val="000000" w:themeColor="text1"/>
          <w14:textFill>
            <w14:solidFill>
              <w14:schemeClr w14:val="tx1"/>
            </w14:solidFill>
          </w14:textFill>
        </w:rPr>
        <w:t>.</w:t>
      </w:r>
      <w:r>
        <w:rPr>
          <w:rFonts w:ascii="仿宋_GB2312" w:hAnsi="黑体" w:eastAsia="仿宋_GB2312"/>
          <w:color w:val="000000" w:themeColor="text1"/>
          <w14:textFill>
            <w14:solidFill>
              <w14:schemeClr w14:val="tx1"/>
            </w14:solidFill>
          </w14:textFill>
        </w:rPr>
        <w:t>2</w:t>
      </w:r>
      <w:r>
        <w:rPr>
          <w:rFonts w:hint="eastAsia" w:ascii="仿宋_GB2312" w:hAnsi="黑体" w:eastAsia="仿宋_GB2312"/>
          <w:color w:val="000000" w:themeColor="text1"/>
          <w14:textFill>
            <w14:solidFill>
              <w14:schemeClr w14:val="tx1"/>
            </w14:solidFill>
          </w14:textFill>
        </w:rPr>
        <w:t>服务地点</w:t>
      </w:r>
    </w:p>
    <w:p>
      <w:pPr>
        <w:pageBreakBefore w:val="0"/>
        <w:kinsoku/>
        <w:wordWrap/>
        <w:overflowPunct/>
        <w:topLinePunct w:val="0"/>
        <w:autoSpaceDE/>
        <w:autoSpaceDN/>
        <w:bidi w:val="0"/>
        <w:adjustRightInd/>
        <w:snapToGrid/>
        <w:spacing w:beforeAutospacing="0" w:afterAutospacing="0" w:line="600" w:lineRule="exact"/>
        <w:ind w:firstLine="480" w:firstLineChars="150"/>
        <w:textAlignment w:val="auto"/>
        <w:rPr>
          <w:rFonts w:hint="eastAsia" w:ascii="仿宋_GB2312" w:hAnsi="黑体" w:eastAsia="仿宋_GB2312" w:cs="Times New Roman"/>
          <w:b/>
          <w:bCs/>
          <w:color w:val="000000" w:themeColor="text1"/>
          <w:kern w:val="2"/>
          <w:sz w:val="32"/>
          <w:szCs w:val="32"/>
          <w:lang w:val="en-US" w:eastAsia="zh-CN" w:bidi="ar-SA"/>
          <w14:textFill>
            <w14:solidFill>
              <w14:schemeClr w14:val="tx1"/>
            </w14:solidFill>
          </w14:textFill>
        </w:rPr>
      </w:pPr>
      <w:r>
        <w:rPr>
          <w:rFonts w:hint="eastAsia" w:ascii="仿宋_GB2312" w:hAnsi="黑体" w:eastAsia="仿宋_GB2312"/>
          <w:color w:val="000000" w:themeColor="text1"/>
          <w:sz w:val="32"/>
          <w:szCs w:val="32"/>
          <w14:textFill>
            <w14:solidFill>
              <w14:schemeClr w14:val="tx1"/>
            </w14:solidFill>
          </w14:textFill>
        </w:rPr>
        <w:t>湖北省药品监督管理局</w:t>
      </w:r>
    </w:p>
    <w:p>
      <w:pPr>
        <w:pStyle w:val="5"/>
        <w:pageBreakBefore w:val="0"/>
        <w:kinsoku/>
        <w:wordWrap/>
        <w:overflowPunct/>
        <w:topLinePunct w:val="0"/>
        <w:autoSpaceDE/>
        <w:autoSpaceDN/>
        <w:bidi w:val="0"/>
        <w:adjustRightInd/>
        <w:snapToGrid/>
        <w:spacing w:beforeAutospacing="0" w:afterAutospacing="0" w:line="600" w:lineRule="exact"/>
        <w:ind w:firstLine="643" w:firstLineChars="200"/>
        <w:textAlignment w:val="auto"/>
        <w:rPr>
          <w:rFonts w:hint="eastAsia" w:ascii="仿宋_GB2312" w:hAnsi="黑体" w:eastAsia="仿宋_GB2312" w:cs="Times New Roman"/>
          <w:b/>
          <w:bCs/>
          <w:color w:val="000000" w:themeColor="text1"/>
          <w:kern w:val="2"/>
          <w:sz w:val="32"/>
          <w:szCs w:val="32"/>
          <w:lang w:val="en-US" w:eastAsia="zh-CN" w:bidi="ar-SA"/>
          <w14:textFill>
            <w14:solidFill>
              <w14:schemeClr w14:val="tx1"/>
            </w14:solidFill>
          </w14:textFill>
        </w:rPr>
      </w:pPr>
      <w:r>
        <w:rPr>
          <w:rFonts w:hint="eastAsia" w:ascii="仿宋_GB2312" w:hAnsi="黑体" w:eastAsia="仿宋_GB2312" w:cs="Times New Roman"/>
          <w:b/>
          <w:bCs/>
          <w:color w:val="000000" w:themeColor="text1"/>
          <w:kern w:val="2"/>
          <w:sz w:val="32"/>
          <w:szCs w:val="32"/>
          <w:lang w:val="en-US" w:eastAsia="zh-CN" w:bidi="ar-SA"/>
          <w14:textFill>
            <w14:solidFill>
              <w14:schemeClr w14:val="tx1"/>
            </w14:solidFill>
          </w14:textFill>
        </w:rPr>
        <w:t>6.3团队要求</w:t>
      </w:r>
    </w:p>
    <w:p>
      <w:pPr>
        <w:pageBreakBefore w:val="0"/>
        <w:kinsoku/>
        <w:wordWrap/>
        <w:overflowPunct/>
        <w:topLinePunct w:val="0"/>
        <w:autoSpaceDE/>
        <w:autoSpaceDN/>
        <w:bidi w:val="0"/>
        <w:adjustRightInd/>
        <w:snapToGrid/>
        <w:spacing w:beforeAutospacing="0" w:afterAutospacing="0" w:line="600" w:lineRule="exact"/>
        <w:ind w:firstLine="640" w:firstLineChars="200"/>
        <w:textAlignment w:val="auto"/>
        <w:rPr>
          <w:rFonts w:ascii="仿宋_GB2312" w:hAnsi="黑体" w:eastAsia="仿宋_GB2312" w:cs="仿宋_GB2312"/>
          <w:color w:val="000000" w:themeColor="text1"/>
          <w:sz w:val="32"/>
          <w:szCs w:val="32"/>
          <w14:textFill>
            <w14:solidFill>
              <w14:schemeClr w14:val="tx1"/>
            </w14:solidFill>
          </w14:textFill>
        </w:rPr>
      </w:pPr>
      <w:r>
        <w:rPr>
          <w:rFonts w:hint="eastAsia" w:ascii="仿宋_GB2312" w:hAnsi="黑体" w:eastAsia="仿宋_GB2312" w:cs="仿宋_GB2312"/>
          <w:color w:val="000000" w:themeColor="text1"/>
          <w:sz w:val="32"/>
          <w:szCs w:val="32"/>
          <w14:textFill>
            <w14:solidFill>
              <w14:schemeClr w14:val="tx1"/>
            </w14:solidFill>
          </w14:textFill>
        </w:rPr>
        <w:t>应选派合适的人员组建项目建设团队，确保团队组织结构科学、专业安排合理、综合实力能够满足项目要求，非必要不得更换项目组成员。团队应包括团队负责人、项目经理、项目团队成员等。</w:t>
      </w:r>
    </w:p>
    <w:p>
      <w:pPr>
        <w:pageBreakBefore w:val="0"/>
        <w:kinsoku/>
        <w:wordWrap/>
        <w:overflowPunct/>
        <w:topLinePunct w:val="0"/>
        <w:autoSpaceDE/>
        <w:autoSpaceDN/>
        <w:bidi w:val="0"/>
        <w:adjustRightInd/>
        <w:snapToGrid/>
        <w:spacing w:beforeAutospacing="0" w:afterAutospacing="0" w:line="600" w:lineRule="exact"/>
        <w:ind w:firstLine="640" w:firstLineChars="200"/>
        <w:textAlignment w:val="auto"/>
        <w:rPr>
          <w:rFonts w:ascii="仿宋_GB2312" w:hAnsi="黑体" w:eastAsia="仿宋_GB2312" w:cs="仿宋_GB2312"/>
          <w:color w:val="000000" w:themeColor="text1"/>
          <w:sz w:val="32"/>
          <w:szCs w:val="32"/>
          <w14:textFill>
            <w14:solidFill>
              <w14:schemeClr w14:val="tx1"/>
            </w14:solidFill>
          </w14:textFill>
        </w:rPr>
      </w:pPr>
      <w:r>
        <w:rPr>
          <w:rFonts w:hint="eastAsia" w:ascii="仿宋_GB2312" w:hAnsi="黑体" w:eastAsia="仿宋_GB2312" w:cs="仿宋_GB2312"/>
          <w:color w:val="000000" w:themeColor="text1"/>
          <w:sz w:val="32"/>
          <w:szCs w:val="32"/>
          <w14:textFill>
            <w14:solidFill>
              <w14:schemeClr w14:val="tx1"/>
            </w14:solidFill>
          </w14:textFill>
        </w:rPr>
        <w:t>（</w:t>
      </w:r>
      <w:r>
        <w:rPr>
          <w:rFonts w:ascii="仿宋_GB2312" w:hAnsi="黑体" w:eastAsia="仿宋_GB2312" w:cs="仿宋_GB2312"/>
          <w:color w:val="000000" w:themeColor="text1"/>
          <w:sz w:val="32"/>
          <w:szCs w:val="32"/>
          <w14:textFill>
            <w14:solidFill>
              <w14:schemeClr w14:val="tx1"/>
            </w14:solidFill>
          </w14:textFill>
        </w:rPr>
        <w:t>1）团队负责人：对团队负总责，负责落实合同履约、监督项目进度、</w:t>
      </w:r>
      <w:r>
        <w:rPr>
          <w:rFonts w:hint="eastAsia" w:ascii="仿宋_GB2312" w:hAnsi="黑体" w:eastAsia="仿宋_GB2312" w:cs="仿宋_GB2312"/>
          <w:color w:val="000000" w:themeColor="text1"/>
          <w:sz w:val="32"/>
          <w:szCs w:val="32"/>
          <w14:textFill>
            <w14:solidFill>
              <w14:schemeClr w14:val="tx1"/>
            </w14:solidFill>
          </w14:textFill>
        </w:rPr>
        <w:t>项目建设</w:t>
      </w:r>
      <w:r>
        <w:rPr>
          <w:rFonts w:ascii="仿宋_GB2312" w:hAnsi="黑体" w:eastAsia="仿宋_GB2312" w:cs="仿宋_GB2312"/>
          <w:color w:val="000000" w:themeColor="text1"/>
          <w:sz w:val="32"/>
          <w:szCs w:val="32"/>
          <w14:textFill>
            <w14:solidFill>
              <w14:schemeClr w14:val="tx1"/>
            </w14:solidFill>
          </w14:textFill>
        </w:rPr>
        <w:t>质量、评估咨询风险，确保与采购人保持良好的沟通。</w:t>
      </w:r>
    </w:p>
    <w:p>
      <w:pPr>
        <w:pageBreakBefore w:val="0"/>
        <w:kinsoku/>
        <w:wordWrap/>
        <w:overflowPunct/>
        <w:topLinePunct w:val="0"/>
        <w:autoSpaceDE/>
        <w:autoSpaceDN/>
        <w:bidi w:val="0"/>
        <w:adjustRightInd/>
        <w:snapToGrid/>
        <w:spacing w:beforeAutospacing="0" w:afterAutospacing="0" w:line="600" w:lineRule="exact"/>
        <w:ind w:firstLine="640" w:firstLineChars="200"/>
        <w:textAlignment w:val="auto"/>
        <w:rPr>
          <w:rFonts w:ascii="仿宋_GB2312" w:hAnsi="黑体" w:eastAsia="仿宋_GB2312" w:cs="仿宋_GB2312"/>
          <w:color w:val="000000" w:themeColor="text1"/>
          <w:sz w:val="32"/>
          <w:szCs w:val="32"/>
          <w14:textFill>
            <w14:solidFill>
              <w14:schemeClr w14:val="tx1"/>
            </w14:solidFill>
          </w14:textFill>
        </w:rPr>
      </w:pPr>
      <w:r>
        <w:rPr>
          <w:rFonts w:hint="eastAsia" w:ascii="仿宋_GB2312" w:hAnsi="黑体" w:eastAsia="仿宋_GB2312" w:cs="仿宋_GB2312"/>
          <w:color w:val="000000" w:themeColor="text1"/>
          <w:sz w:val="32"/>
          <w:szCs w:val="32"/>
          <w14:textFill>
            <w14:solidFill>
              <w14:schemeClr w14:val="tx1"/>
            </w14:solidFill>
          </w14:textFill>
        </w:rPr>
        <w:t>（</w:t>
      </w:r>
      <w:r>
        <w:rPr>
          <w:rFonts w:ascii="仿宋_GB2312" w:hAnsi="黑体" w:eastAsia="仿宋_GB2312" w:cs="仿宋_GB2312"/>
          <w:color w:val="000000" w:themeColor="text1"/>
          <w:sz w:val="32"/>
          <w:szCs w:val="32"/>
          <w14:textFill>
            <w14:solidFill>
              <w14:schemeClr w14:val="tx1"/>
            </w14:solidFill>
          </w14:textFill>
        </w:rPr>
        <w:t>2）项目经理：负责组建项目团队，并对团队进行全面管理，按照</w:t>
      </w:r>
      <w:r>
        <w:rPr>
          <w:rFonts w:hint="eastAsia" w:ascii="仿宋_GB2312" w:hAnsi="黑体" w:eastAsia="仿宋_GB2312" w:cs="仿宋_GB2312"/>
          <w:color w:val="000000" w:themeColor="text1"/>
          <w:sz w:val="32"/>
          <w:szCs w:val="32"/>
          <w14:textFill>
            <w14:solidFill>
              <w14:schemeClr w14:val="tx1"/>
            </w14:solidFill>
          </w14:textFill>
        </w:rPr>
        <w:t>采购</w:t>
      </w:r>
      <w:r>
        <w:rPr>
          <w:rFonts w:ascii="仿宋_GB2312" w:hAnsi="黑体" w:eastAsia="仿宋_GB2312" w:cs="仿宋_GB2312"/>
          <w:color w:val="000000" w:themeColor="text1"/>
          <w:sz w:val="32"/>
          <w:szCs w:val="32"/>
          <w14:textFill>
            <w14:solidFill>
              <w14:schemeClr w14:val="tx1"/>
            </w14:solidFill>
          </w14:textFill>
        </w:rPr>
        <w:t>服务内容和要求，进行工作任务分解</w:t>
      </w:r>
      <w:r>
        <w:rPr>
          <w:rFonts w:hint="eastAsia" w:ascii="仿宋_GB2312" w:hAnsi="黑体" w:eastAsia="仿宋_GB2312" w:cs="仿宋_GB2312"/>
          <w:color w:val="000000" w:themeColor="text1"/>
          <w:sz w:val="32"/>
          <w:szCs w:val="32"/>
          <w14:textFill>
            <w14:solidFill>
              <w14:schemeClr w14:val="tx1"/>
            </w14:solidFill>
          </w14:textFill>
        </w:rPr>
        <w:t>、</w:t>
      </w:r>
      <w:r>
        <w:rPr>
          <w:rFonts w:ascii="仿宋_GB2312" w:hAnsi="黑体" w:eastAsia="仿宋_GB2312" w:cs="仿宋_GB2312"/>
          <w:color w:val="000000" w:themeColor="text1"/>
          <w:sz w:val="32"/>
          <w:szCs w:val="32"/>
          <w14:textFill>
            <w14:solidFill>
              <w14:schemeClr w14:val="tx1"/>
            </w14:solidFill>
          </w14:textFill>
        </w:rPr>
        <w:t>项目进度</w:t>
      </w:r>
      <w:r>
        <w:rPr>
          <w:rFonts w:hint="eastAsia" w:ascii="仿宋_GB2312" w:hAnsi="黑体" w:eastAsia="仿宋_GB2312" w:cs="仿宋_GB2312"/>
          <w:color w:val="000000" w:themeColor="text1"/>
          <w:sz w:val="32"/>
          <w:szCs w:val="32"/>
          <w14:textFill>
            <w14:solidFill>
              <w14:schemeClr w14:val="tx1"/>
            </w14:solidFill>
          </w14:textFill>
        </w:rPr>
        <w:t>管控</w:t>
      </w:r>
      <w:r>
        <w:rPr>
          <w:rFonts w:ascii="仿宋_GB2312" w:hAnsi="黑体" w:eastAsia="仿宋_GB2312" w:cs="仿宋_GB2312"/>
          <w:color w:val="000000" w:themeColor="text1"/>
          <w:sz w:val="32"/>
          <w:szCs w:val="32"/>
          <w14:textFill>
            <w14:solidFill>
              <w14:schemeClr w14:val="tx1"/>
            </w14:solidFill>
          </w14:textFill>
        </w:rPr>
        <w:t>，负责项目各阶段的沟通汇报</w:t>
      </w:r>
      <w:r>
        <w:rPr>
          <w:rFonts w:hint="eastAsia" w:ascii="仿宋_GB2312" w:hAnsi="黑体" w:eastAsia="仿宋_GB2312" w:cs="仿宋_GB2312"/>
          <w:color w:val="000000" w:themeColor="text1"/>
          <w:sz w:val="32"/>
          <w:szCs w:val="32"/>
          <w14:textFill>
            <w14:solidFill>
              <w14:schemeClr w14:val="tx1"/>
            </w14:solidFill>
          </w14:textFill>
        </w:rPr>
        <w:t>和</w:t>
      </w:r>
      <w:r>
        <w:rPr>
          <w:rFonts w:ascii="仿宋_GB2312" w:hAnsi="黑体" w:eastAsia="仿宋_GB2312" w:cs="仿宋_GB2312"/>
          <w:color w:val="000000" w:themeColor="text1"/>
          <w:sz w:val="32"/>
          <w:szCs w:val="32"/>
          <w14:textFill>
            <w14:solidFill>
              <w14:schemeClr w14:val="tx1"/>
            </w14:solidFill>
          </w14:textFill>
        </w:rPr>
        <w:t>统筹协调工作。</w:t>
      </w:r>
    </w:p>
    <w:p>
      <w:pPr>
        <w:pageBreakBefore w:val="0"/>
        <w:kinsoku/>
        <w:wordWrap/>
        <w:overflowPunct/>
        <w:topLinePunct w:val="0"/>
        <w:autoSpaceDE/>
        <w:autoSpaceDN/>
        <w:bidi w:val="0"/>
        <w:adjustRightInd/>
        <w:snapToGrid/>
        <w:spacing w:beforeAutospacing="0" w:afterAutospacing="0" w:line="600" w:lineRule="exact"/>
        <w:ind w:firstLine="640" w:firstLineChars="200"/>
        <w:textAlignment w:val="auto"/>
        <w:rPr>
          <w:rFonts w:ascii="仿宋_GB2312" w:hAnsi="黑体" w:eastAsia="仿宋_GB2312" w:cs="仿宋_GB2312"/>
          <w:color w:val="000000" w:themeColor="text1"/>
          <w:sz w:val="32"/>
          <w:szCs w:val="32"/>
          <w14:textFill>
            <w14:solidFill>
              <w14:schemeClr w14:val="tx1"/>
            </w14:solidFill>
          </w14:textFill>
        </w:rPr>
      </w:pPr>
      <w:r>
        <w:rPr>
          <w:rFonts w:hint="eastAsia" w:ascii="仿宋_GB2312" w:hAnsi="黑体" w:eastAsia="仿宋_GB2312" w:cs="仿宋_GB2312"/>
          <w:color w:val="000000" w:themeColor="text1"/>
          <w:sz w:val="32"/>
          <w:szCs w:val="32"/>
          <w14:textFill>
            <w14:solidFill>
              <w14:schemeClr w14:val="tx1"/>
            </w14:solidFill>
          </w14:textFill>
        </w:rPr>
        <w:t>（</w:t>
      </w:r>
      <w:r>
        <w:rPr>
          <w:rFonts w:ascii="仿宋_GB2312" w:hAnsi="黑体" w:eastAsia="仿宋_GB2312" w:cs="仿宋_GB2312"/>
          <w:color w:val="000000" w:themeColor="text1"/>
          <w:sz w:val="32"/>
          <w:szCs w:val="32"/>
          <w14:textFill>
            <w14:solidFill>
              <w14:schemeClr w14:val="tx1"/>
            </w14:solidFill>
          </w14:textFill>
        </w:rPr>
        <w:t>3）项目团队成员：</w:t>
      </w:r>
      <w:r>
        <w:rPr>
          <w:rFonts w:hint="eastAsia" w:ascii="仿宋_GB2312" w:hAnsi="黑体" w:eastAsia="仿宋_GB2312" w:cs="仿宋_GB2312"/>
          <w:color w:val="000000" w:themeColor="text1"/>
          <w:sz w:val="32"/>
          <w:szCs w:val="32"/>
          <w14:textFill>
            <w14:solidFill>
              <w14:schemeClr w14:val="tx1"/>
            </w14:solidFill>
          </w14:textFill>
        </w:rPr>
        <w:t>项目组成员至少</w:t>
      </w:r>
      <w:r>
        <w:rPr>
          <w:rFonts w:hint="eastAsia" w:ascii="仿宋_GB2312" w:hAnsi="黑体" w:eastAsia="仿宋_GB2312" w:cs="仿宋_GB2312"/>
          <w:color w:val="000000" w:themeColor="text1"/>
          <w:sz w:val="32"/>
          <w:szCs w:val="32"/>
          <w:lang w:val="en-US" w:eastAsia="zh-CN"/>
          <w14:textFill>
            <w14:solidFill>
              <w14:schemeClr w14:val="tx1"/>
            </w14:solidFill>
          </w14:textFill>
        </w:rPr>
        <w:t>3</w:t>
      </w:r>
      <w:r>
        <w:rPr>
          <w:rFonts w:hint="eastAsia" w:ascii="仿宋_GB2312" w:hAnsi="黑体" w:eastAsia="仿宋_GB2312" w:cs="仿宋_GB2312"/>
          <w:color w:val="000000" w:themeColor="text1"/>
          <w:sz w:val="32"/>
          <w:szCs w:val="32"/>
          <w14:textFill>
            <w14:solidFill>
              <w14:schemeClr w14:val="tx1"/>
            </w14:solidFill>
          </w14:textFill>
        </w:rPr>
        <w:t>人及以上专职工作人员，具备信息化系统开发实施经验，具体</w:t>
      </w:r>
      <w:r>
        <w:rPr>
          <w:rFonts w:ascii="仿宋_GB2312" w:hAnsi="黑体" w:eastAsia="仿宋_GB2312" w:cs="仿宋_GB2312"/>
          <w:color w:val="000000" w:themeColor="text1"/>
          <w:sz w:val="32"/>
          <w:szCs w:val="32"/>
          <w14:textFill>
            <w14:solidFill>
              <w14:schemeClr w14:val="tx1"/>
            </w14:solidFill>
          </w14:textFill>
        </w:rPr>
        <w:t>负责项目整体建设工作。</w:t>
      </w:r>
    </w:p>
    <w:p>
      <w:pPr>
        <w:pStyle w:val="5"/>
        <w:pageBreakBefore w:val="0"/>
        <w:kinsoku/>
        <w:wordWrap/>
        <w:overflowPunct/>
        <w:topLinePunct w:val="0"/>
        <w:autoSpaceDE/>
        <w:autoSpaceDN/>
        <w:bidi w:val="0"/>
        <w:adjustRightInd/>
        <w:snapToGrid/>
        <w:spacing w:beforeAutospacing="0" w:afterAutospacing="0" w:line="600" w:lineRule="exact"/>
        <w:ind w:firstLine="643" w:firstLineChars="200"/>
        <w:textAlignment w:val="auto"/>
        <w:rPr>
          <w:rFonts w:hint="eastAsia" w:ascii="仿宋_GB2312" w:hAnsi="黑体" w:eastAsia="仿宋_GB2312"/>
          <w:color w:val="000000" w:themeColor="text1"/>
          <w14:textFill>
            <w14:solidFill>
              <w14:schemeClr w14:val="tx1"/>
            </w14:solidFill>
          </w14:textFill>
        </w:rPr>
      </w:pPr>
      <w:r>
        <w:rPr>
          <w:rFonts w:hint="eastAsia" w:ascii="仿宋_GB2312" w:hAnsi="黑体" w:eastAsia="仿宋_GB2312"/>
          <w:color w:val="000000" w:themeColor="text1"/>
          <w:lang w:val="en-US" w:eastAsia="zh-CN"/>
          <w14:textFill>
            <w14:solidFill>
              <w14:schemeClr w14:val="tx1"/>
            </w14:solidFill>
          </w14:textFill>
        </w:rPr>
        <w:t>6</w:t>
      </w:r>
      <w:r>
        <w:rPr>
          <w:rFonts w:hint="eastAsia" w:ascii="仿宋_GB2312" w:hAnsi="黑体" w:eastAsia="仿宋_GB2312"/>
          <w:color w:val="000000" w:themeColor="text1"/>
          <w14:textFill>
            <w14:solidFill>
              <w14:schemeClr w14:val="tx1"/>
            </w14:solidFill>
          </w14:textFill>
        </w:rPr>
        <w:t>.</w:t>
      </w:r>
      <w:r>
        <w:rPr>
          <w:rFonts w:hint="eastAsia" w:ascii="仿宋_GB2312" w:hAnsi="黑体" w:eastAsia="仿宋_GB2312"/>
          <w:color w:val="000000" w:themeColor="text1"/>
          <w:lang w:val="en-US" w:eastAsia="zh-CN"/>
          <w14:textFill>
            <w14:solidFill>
              <w14:schemeClr w14:val="tx1"/>
            </w14:solidFill>
          </w14:textFill>
        </w:rPr>
        <w:t>4</w:t>
      </w:r>
      <w:r>
        <w:rPr>
          <w:rFonts w:hint="eastAsia" w:ascii="仿宋_GB2312" w:hAnsi="黑体" w:eastAsia="仿宋_GB2312"/>
          <w:color w:val="000000" w:themeColor="text1"/>
          <w14:textFill>
            <w14:solidFill>
              <w14:schemeClr w14:val="tx1"/>
            </w14:solidFill>
          </w14:textFill>
        </w:rPr>
        <w:t>维护</w:t>
      </w:r>
      <w:r>
        <w:rPr>
          <w:rFonts w:ascii="仿宋_GB2312" w:hAnsi="黑体" w:eastAsia="仿宋_GB2312"/>
          <w:color w:val="000000" w:themeColor="text1"/>
          <w14:textFill>
            <w14:solidFill>
              <w14:schemeClr w14:val="tx1"/>
            </w14:solidFill>
          </w14:textFill>
        </w:rPr>
        <w:t>要求</w:t>
      </w:r>
    </w:p>
    <w:p>
      <w:pPr>
        <w:pageBreakBefore w:val="0"/>
        <w:widowControl/>
        <w:kinsoku/>
        <w:wordWrap/>
        <w:overflowPunct/>
        <w:topLinePunct w:val="0"/>
        <w:autoSpaceDE/>
        <w:autoSpaceDN/>
        <w:bidi w:val="0"/>
        <w:adjustRightInd/>
        <w:snapToGrid/>
        <w:spacing w:beforeAutospacing="0" w:afterAutospacing="0" w:line="600" w:lineRule="exact"/>
        <w:ind w:firstLine="480" w:firstLineChars="150"/>
        <w:jc w:val="both"/>
        <w:textAlignment w:val="auto"/>
        <w:rPr>
          <w:rFonts w:hint="eastAsia" w:ascii="仿宋_GB2312" w:hAnsi="黑体" w:eastAsia="仿宋_GB2312"/>
          <w:color w:val="000000" w:themeColor="text1"/>
          <w:sz w:val="32"/>
          <w:szCs w:val="32"/>
          <w14:textFill>
            <w14:solidFill>
              <w14:schemeClr w14:val="tx1"/>
            </w14:solidFill>
          </w14:textFill>
        </w:rPr>
      </w:pPr>
      <w:r>
        <w:rPr>
          <w:rFonts w:hint="eastAsia" w:ascii="仿宋_GB2312" w:hAnsi="黑体" w:eastAsia="仿宋_GB2312"/>
          <w:color w:val="000000" w:themeColor="text1"/>
          <w:sz w:val="32"/>
          <w:szCs w:val="32"/>
          <w14:textFill>
            <w14:solidFill>
              <w14:schemeClr w14:val="tx1"/>
            </w14:solidFill>
          </w14:textFill>
        </w:rPr>
        <w:t>供应商应根据采购人的需求，对所提供的系统保证全面、有效、及时的技术支持和售后服务。提供7×24小时的技术支持和服务，承诺故障响应时间小于15分钟，一般故障2小时内解决，重大故障应在12小时内解决。投标人在维护期提供的运维服务应包括</w:t>
      </w:r>
      <w:r>
        <w:rPr>
          <w:rFonts w:hint="eastAsia" w:ascii="仿宋_GB2312" w:hAnsi="黑体" w:eastAsia="仿宋_GB2312"/>
          <w:color w:val="000000" w:themeColor="text1"/>
          <w:sz w:val="32"/>
          <w:szCs w:val="32"/>
          <w:lang w:val="en-US" w:eastAsia="zh-CN"/>
          <w14:textFill>
            <w14:solidFill>
              <w14:schemeClr w14:val="tx1"/>
            </w14:solidFill>
          </w14:textFill>
        </w:rPr>
        <w:t>但不限于</w:t>
      </w:r>
      <w:r>
        <w:rPr>
          <w:rFonts w:hint="eastAsia" w:ascii="仿宋_GB2312" w:hAnsi="黑体" w:eastAsia="仿宋_GB2312"/>
          <w:color w:val="000000" w:themeColor="text1"/>
          <w:sz w:val="32"/>
          <w:szCs w:val="32"/>
          <w14:textFill>
            <w14:solidFill>
              <w14:schemeClr w14:val="tx1"/>
            </w14:solidFill>
          </w14:textFill>
        </w:rPr>
        <w:t>系统升级、日常巡检、数据处理、故障定位及问题解决、重大活动保障</w:t>
      </w:r>
      <w:r>
        <w:rPr>
          <w:rFonts w:hint="eastAsia" w:ascii="仿宋_GB2312" w:hAnsi="黑体" w:eastAsia="仿宋_GB2312"/>
          <w:color w:val="000000" w:themeColor="text1"/>
          <w:sz w:val="32"/>
          <w:szCs w:val="32"/>
          <w:lang w:eastAsia="zh-CN"/>
          <w14:textFill>
            <w14:solidFill>
              <w14:schemeClr w14:val="tx1"/>
            </w14:solidFill>
          </w14:textFill>
        </w:rPr>
        <w:t>、</w:t>
      </w:r>
      <w:r>
        <w:rPr>
          <w:rFonts w:hint="eastAsia" w:ascii="仿宋_GB2312" w:hAnsi="黑体" w:eastAsia="仿宋_GB2312"/>
          <w:color w:val="000000" w:themeColor="text1"/>
          <w:sz w:val="32"/>
          <w:szCs w:val="32"/>
          <w14:textFill>
            <w14:solidFill>
              <w14:schemeClr w14:val="tx1"/>
            </w14:solidFill>
          </w14:textFill>
        </w:rPr>
        <w:t>运维培训等。</w:t>
      </w:r>
    </w:p>
    <w:p>
      <w:pPr>
        <w:pStyle w:val="5"/>
        <w:pageBreakBefore w:val="0"/>
        <w:kinsoku/>
        <w:wordWrap/>
        <w:overflowPunct/>
        <w:topLinePunct w:val="0"/>
        <w:autoSpaceDE/>
        <w:autoSpaceDN/>
        <w:bidi w:val="0"/>
        <w:adjustRightInd/>
        <w:snapToGrid/>
        <w:spacing w:beforeAutospacing="0" w:afterAutospacing="0" w:line="600" w:lineRule="exact"/>
        <w:ind w:firstLine="643" w:firstLineChars="200"/>
        <w:textAlignment w:val="auto"/>
        <w:rPr>
          <w:rFonts w:hint="eastAsia" w:ascii="仿宋_GB2312" w:hAnsi="黑体" w:eastAsia="仿宋_GB2312"/>
          <w:color w:val="000000" w:themeColor="text1"/>
          <w:lang w:val="en-US" w:eastAsia="zh-CN"/>
          <w14:textFill>
            <w14:solidFill>
              <w14:schemeClr w14:val="tx1"/>
            </w14:solidFill>
          </w14:textFill>
        </w:rPr>
      </w:pPr>
      <w:r>
        <w:rPr>
          <w:rFonts w:hint="eastAsia" w:ascii="仿宋_GB2312" w:hAnsi="黑体" w:eastAsia="仿宋_GB2312"/>
          <w:color w:val="000000" w:themeColor="text1"/>
          <w:lang w:val="en-US" w:eastAsia="zh-CN"/>
          <w14:textFill>
            <w14:solidFill>
              <w14:schemeClr w14:val="tx1"/>
            </w14:solidFill>
          </w14:textFill>
        </w:rPr>
        <w:t>6.5系统安全要求</w:t>
      </w:r>
    </w:p>
    <w:p>
      <w:pPr>
        <w:widowControl/>
        <w:spacing w:line="240" w:lineRule="auto"/>
        <w:ind w:firstLine="480"/>
        <w:jc w:val="both"/>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pPr>
      <w:r>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t>（1）严格权限访问控制，用户在经过身份认证后，只能访问其权限范围内的数据，只能进行其权限范围内的操作。</w:t>
      </w:r>
    </w:p>
    <w:p>
      <w:pPr>
        <w:widowControl/>
        <w:spacing w:line="240" w:lineRule="auto"/>
        <w:ind w:firstLine="480"/>
        <w:jc w:val="both"/>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pPr>
      <w:r>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t>（2）不同的用户具有不同的身份和权限，需要在用户身份真实可信的前提下，提供可信的授权管理服务，保护数据不被非法/越权访问和篡改，要确保数据的机密性和完整性。</w:t>
      </w:r>
    </w:p>
    <w:p>
      <w:pPr>
        <w:widowControl/>
        <w:spacing w:line="240" w:lineRule="auto"/>
        <w:ind w:firstLine="480"/>
        <w:jc w:val="both"/>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pPr>
      <w:r>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t>（3）对输入有提示，数据有检查，防止数据异常。</w:t>
      </w:r>
    </w:p>
    <w:p>
      <w:pPr>
        <w:widowControl/>
        <w:spacing w:line="240" w:lineRule="auto"/>
        <w:ind w:firstLine="480"/>
        <w:jc w:val="both"/>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pPr>
      <w:r>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t>（4）能处理系统运行过程中出现的各种异常情况，如：人为操作错误、输入非法数据、硬件设备失败等，系统应该能正确的处理，恰当的回避。</w:t>
      </w:r>
    </w:p>
    <w:p>
      <w:pPr>
        <w:widowControl/>
        <w:spacing w:line="240" w:lineRule="auto"/>
        <w:ind w:firstLine="480"/>
        <w:jc w:val="both"/>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pPr>
      <w:r>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t>（5）各种数据对接过程中需保护数据不被非法/越权访问。</w:t>
      </w:r>
    </w:p>
    <w:p>
      <w:pPr>
        <w:pStyle w:val="5"/>
        <w:pageBreakBefore w:val="0"/>
        <w:kinsoku/>
        <w:wordWrap/>
        <w:overflowPunct/>
        <w:topLinePunct w:val="0"/>
        <w:autoSpaceDE/>
        <w:autoSpaceDN/>
        <w:bidi w:val="0"/>
        <w:adjustRightInd/>
        <w:snapToGrid/>
        <w:spacing w:beforeAutospacing="0" w:afterAutospacing="0" w:line="600" w:lineRule="exact"/>
        <w:ind w:firstLine="643" w:firstLineChars="200"/>
        <w:textAlignment w:val="auto"/>
        <w:rPr>
          <w:rFonts w:ascii="仿宋_GB2312" w:hAnsi="黑体" w:eastAsia="仿宋_GB2312"/>
          <w:color w:val="000000" w:themeColor="text1"/>
          <w14:textFill>
            <w14:solidFill>
              <w14:schemeClr w14:val="tx1"/>
            </w14:solidFill>
          </w14:textFill>
        </w:rPr>
      </w:pPr>
      <w:r>
        <w:rPr>
          <w:rFonts w:hint="eastAsia" w:ascii="仿宋_GB2312" w:hAnsi="黑体" w:eastAsia="仿宋_GB2312"/>
          <w:color w:val="000000" w:themeColor="text1"/>
          <w:lang w:val="en-US" w:eastAsia="zh-CN"/>
          <w14:textFill>
            <w14:solidFill>
              <w14:schemeClr w14:val="tx1"/>
            </w14:solidFill>
          </w14:textFill>
        </w:rPr>
        <w:t>6.6</w:t>
      </w:r>
      <w:r>
        <w:rPr>
          <w:rFonts w:hint="eastAsia" w:ascii="仿宋_GB2312" w:hAnsi="黑体" w:eastAsia="仿宋_GB2312"/>
          <w:color w:val="000000" w:themeColor="text1"/>
          <w14:textFill>
            <w14:solidFill>
              <w14:schemeClr w14:val="tx1"/>
            </w14:solidFill>
          </w14:textFill>
        </w:rPr>
        <w:t>保密要求</w:t>
      </w:r>
    </w:p>
    <w:p>
      <w:pPr>
        <w:widowControl/>
        <w:spacing w:line="240" w:lineRule="auto"/>
        <w:ind w:firstLine="480"/>
        <w:jc w:val="both"/>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pPr>
      <w:r>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t>（1）中标人应对项</w:t>
      </w:r>
      <w:bookmarkStart w:id="6" w:name="_GoBack"/>
      <w:bookmarkEnd w:id="6"/>
      <w:r>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t>目技术文件以及由采购人提供的所有内部资料、技术文档、数据和信息予以保密；中标人应与采购人签订保密协议并严格遵守，未经采购人书面许可，中标人不得以任何形式向第三方透露本项目标书、技术方案等内容。</w:t>
      </w:r>
    </w:p>
    <w:p>
      <w:pPr>
        <w:widowControl/>
        <w:spacing w:line="240" w:lineRule="auto"/>
        <w:ind w:firstLine="480"/>
        <w:jc w:val="both"/>
        <w:rPr>
          <w:rFonts w:hint="eastAsia" w:ascii="仿宋_GB2312" w:hAnsi="黑体" w:eastAsia="仿宋_GB2312"/>
          <w:color w:val="000000" w:themeColor="text1"/>
          <w:kern w:val="2"/>
          <w:sz w:val="32"/>
          <w:szCs w:val="32"/>
          <w14:textFill>
            <w14:solidFill>
              <w14:schemeClr w14:val="tx1"/>
            </w14:solidFill>
          </w14:textFill>
        </w:rPr>
      </w:pPr>
      <w:r>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t>（2）中标人驻场工作人员应签订保密承诺书，承诺内容需得到采购人认可，并与合同、保密协议一并提交给采购人。</w:t>
      </w:r>
    </w:p>
    <w:p>
      <w:pPr>
        <w:pStyle w:val="9"/>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firstLine="643" w:firstLineChars="200"/>
        <w:textAlignment w:val="auto"/>
        <w:rPr>
          <w:rFonts w:hint="eastAsia" w:ascii="仿宋_GB2312" w:hAnsi="黑体" w:eastAsia="仿宋_GB2312" w:cs="Times New Roman"/>
          <w:b/>
          <w:bCs/>
          <w:color w:val="000000" w:themeColor="text1"/>
          <w:kern w:val="2"/>
          <w:sz w:val="32"/>
          <w:szCs w:val="32"/>
          <w:lang w:val="en-US" w:eastAsia="zh-CN" w:bidi="ar-SA"/>
          <w14:textFill>
            <w14:solidFill>
              <w14:schemeClr w14:val="tx1"/>
            </w14:solidFill>
          </w14:textFill>
        </w:rPr>
      </w:pPr>
      <w:r>
        <w:rPr>
          <w:rFonts w:hint="eastAsia" w:ascii="仿宋_GB2312" w:hAnsi="黑体" w:eastAsia="仿宋_GB2312" w:cs="Times New Roman"/>
          <w:b/>
          <w:bCs/>
          <w:color w:val="000000" w:themeColor="text1"/>
          <w:kern w:val="2"/>
          <w:sz w:val="32"/>
          <w:szCs w:val="32"/>
          <w:lang w:val="en-US" w:eastAsia="zh-CN" w:bidi="ar-SA"/>
          <w14:textFill>
            <w14:solidFill>
              <w14:schemeClr w14:val="tx1"/>
            </w14:solidFill>
          </w14:textFill>
        </w:rPr>
        <w:t>6.7付款方式</w:t>
      </w:r>
    </w:p>
    <w:p>
      <w:pPr>
        <w:pStyle w:val="9"/>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firstLine="640" w:firstLineChars="200"/>
        <w:textAlignment w:val="auto"/>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pPr>
      <w:r>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t>由采购人在项目合同中商定。采购人付款之前必须先由供应商提供同等金额的正规发票，由采购人审核确认无误后支付合同款。</w:t>
      </w:r>
    </w:p>
    <w:p>
      <w:pPr>
        <w:pStyle w:val="2"/>
        <w:pageBreakBefore w:val="0"/>
        <w:kinsoku/>
        <w:wordWrap/>
        <w:overflowPunct/>
        <w:topLinePunct w:val="0"/>
        <w:autoSpaceDE/>
        <w:autoSpaceDN/>
        <w:bidi w:val="0"/>
        <w:adjustRightInd/>
        <w:snapToGrid/>
        <w:spacing w:line="560" w:lineRule="exact"/>
        <w:textAlignment w:val="auto"/>
        <w:rPr>
          <w:rFonts w:hint="default" w:eastAsia="宋体"/>
          <w:color w:val="000000" w:themeColor="text1"/>
          <w:lang w:val="en-US" w:eastAsia="zh-CN"/>
          <w14:textFill>
            <w14:solidFill>
              <w14:schemeClr w14:val="tx1"/>
            </w14:solidFill>
          </w14:textFill>
        </w:rPr>
      </w:pPr>
    </w:p>
    <w:p>
      <w:pPr>
        <w:pageBreakBefore w:val="0"/>
        <w:kinsoku/>
        <w:wordWrap/>
        <w:overflowPunct/>
        <w:topLinePunct w:val="0"/>
        <w:autoSpaceDE/>
        <w:autoSpaceDN/>
        <w:bidi w:val="0"/>
        <w:adjustRightInd/>
        <w:snapToGrid/>
        <w:spacing w:line="560" w:lineRule="exact"/>
        <w:textAlignment w:val="auto"/>
        <w:rPr>
          <w:color w:val="000000" w:themeColor="text1"/>
          <w14:textFill>
            <w14:solidFill>
              <w14:schemeClr w14:val="tx1"/>
            </w14:solidFill>
          </w14:textFill>
        </w:rPr>
      </w:pP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rPr>
                              <w:rFonts w:hint="eastAsia" w:asciiTheme="minorEastAsia" w:hAnsiTheme="minorEastAsia" w:eastAsiaTheme="minorEastAsia" w:cstheme="minorEastAsia"/>
                              <w:sz w:val="21"/>
                              <w:szCs w:val="28"/>
                            </w:rPr>
                            <w:fldChar w:fldCharType="begin"/>
                          </w:r>
                          <w:r>
                            <w:rPr>
                              <w:rFonts w:hint="eastAsia" w:asciiTheme="minorEastAsia" w:hAnsiTheme="minorEastAsia" w:eastAsiaTheme="minorEastAsia" w:cstheme="minorEastAsia"/>
                              <w:sz w:val="21"/>
                              <w:szCs w:val="28"/>
                            </w:rPr>
                            <w:instrText xml:space="preserve"> PAGE  \* MERGEFORMAT </w:instrText>
                          </w:r>
                          <w:r>
                            <w:rPr>
                              <w:rFonts w:hint="eastAsia" w:asciiTheme="minorEastAsia" w:hAnsiTheme="minorEastAsia" w:eastAsiaTheme="minorEastAsia" w:cstheme="minorEastAsia"/>
                              <w:sz w:val="21"/>
                              <w:szCs w:val="28"/>
                            </w:rPr>
                            <w:fldChar w:fldCharType="separate"/>
                          </w:r>
                          <w:r>
                            <w:rPr>
                              <w:rFonts w:hint="eastAsia" w:asciiTheme="minorEastAsia" w:hAnsiTheme="minorEastAsia" w:eastAsiaTheme="minorEastAsia" w:cstheme="minorEastAsia"/>
                              <w:sz w:val="21"/>
                              <w:szCs w:val="28"/>
                            </w:rPr>
                            <w:t>1</w:t>
                          </w:r>
                          <w:r>
                            <w:rPr>
                              <w:rFonts w:hint="eastAsia" w:asciiTheme="minorEastAsia" w:hAnsiTheme="minorEastAsia" w:eastAsiaTheme="minorEastAsia" w:cstheme="minorEastAsia"/>
                              <w:sz w:val="21"/>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7"/>
                    </w:pPr>
                    <w:r>
                      <w:rPr>
                        <w:rFonts w:hint="eastAsia" w:asciiTheme="minorEastAsia" w:hAnsiTheme="minorEastAsia" w:eastAsiaTheme="minorEastAsia" w:cstheme="minorEastAsia"/>
                        <w:sz w:val="21"/>
                        <w:szCs w:val="28"/>
                      </w:rPr>
                      <w:fldChar w:fldCharType="begin"/>
                    </w:r>
                    <w:r>
                      <w:rPr>
                        <w:rFonts w:hint="eastAsia" w:asciiTheme="minorEastAsia" w:hAnsiTheme="minorEastAsia" w:eastAsiaTheme="minorEastAsia" w:cstheme="minorEastAsia"/>
                        <w:sz w:val="21"/>
                        <w:szCs w:val="28"/>
                      </w:rPr>
                      <w:instrText xml:space="preserve"> PAGE  \* MERGEFORMAT </w:instrText>
                    </w:r>
                    <w:r>
                      <w:rPr>
                        <w:rFonts w:hint="eastAsia" w:asciiTheme="minorEastAsia" w:hAnsiTheme="minorEastAsia" w:eastAsiaTheme="minorEastAsia" w:cstheme="minorEastAsia"/>
                        <w:sz w:val="21"/>
                        <w:szCs w:val="28"/>
                      </w:rPr>
                      <w:fldChar w:fldCharType="separate"/>
                    </w:r>
                    <w:r>
                      <w:rPr>
                        <w:rFonts w:hint="eastAsia" w:asciiTheme="minorEastAsia" w:hAnsiTheme="minorEastAsia" w:eastAsiaTheme="minorEastAsia" w:cstheme="minorEastAsia"/>
                        <w:sz w:val="21"/>
                        <w:szCs w:val="28"/>
                      </w:rPr>
                      <w:t>1</w:t>
                    </w:r>
                    <w:r>
                      <w:rPr>
                        <w:rFonts w:hint="eastAsia" w:asciiTheme="minorEastAsia" w:hAnsiTheme="minorEastAsia" w:eastAsiaTheme="minorEastAsia" w:cstheme="minorEastAsia"/>
                        <w:sz w:val="21"/>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E4OWU1ZjVlYWZkNzE1YjFhNjVjYmZhN2Y2OTE2NjUifQ=="/>
    <w:docVar w:name="KSO_WPS_MARK_KEY" w:val="91124a79-225f-4cd5-936f-b7b6b988a6b5"/>
  </w:docVars>
  <w:rsids>
    <w:rsidRoot w:val="27BC6504"/>
    <w:rsid w:val="0DF06AB6"/>
    <w:rsid w:val="0FDE4D34"/>
    <w:rsid w:val="10BC53AC"/>
    <w:rsid w:val="12072620"/>
    <w:rsid w:val="17D63778"/>
    <w:rsid w:val="1AE53808"/>
    <w:rsid w:val="1D4D182F"/>
    <w:rsid w:val="21633367"/>
    <w:rsid w:val="22E15644"/>
    <w:rsid w:val="27BC6504"/>
    <w:rsid w:val="288B2282"/>
    <w:rsid w:val="2C6426F1"/>
    <w:rsid w:val="2CA23219"/>
    <w:rsid w:val="2E37326B"/>
    <w:rsid w:val="2E587342"/>
    <w:rsid w:val="35DC7051"/>
    <w:rsid w:val="35E02F6B"/>
    <w:rsid w:val="39BA7DF4"/>
    <w:rsid w:val="39C42A21"/>
    <w:rsid w:val="3B742225"/>
    <w:rsid w:val="40204742"/>
    <w:rsid w:val="425D7EB7"/>
    <w:rsid w:val="427220F9"/>
    <w:rsid w:val="42F36125"/>
    <w:rsid w:val="494A769F"/>
    <w:rsid w:val="4D506739"/>
    <w:rsid w:val="4D7F6F33"/>
    <w:rsid w:val="557227FC"/>
    <w:rsid w:val="55D212A5"/>
    <w:rsid w:val="62132EA9"/>
    <w:rsid w:val="62685D90"/>
    <w:rsid w:val="627B5AC3"/>
    <w:rsid w:val="635E349F"/>
    <w:rsid w:val="66DD50F0"/>
    <w:rsid w:val="66F916AD"/>
    <w:rsid w:val="6B4750DC"/>
    <w:rsid w:val="6BC76B50"/>
    <w:rsid w:val="6D9815AC"/>
    <w:rsid w:val="6E353FFA"/>
    <w:rsid w:val="6E5673E4"/>
    <w:rsid w:val="6FF46EB5"/>
    <w:rsid w:val="70D0347E"/>
    <w:rsid w:val="72B731C1"/>
    <w:rsid w:val="7AC878BC"/>
    <w:rsid w:val="7C5331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宋体" w:cs="Times New Roman"/>
      <w:kern w:val="2"/>
      <w:sz w:val="21"/>
      <w:szCs w:val="22"/>
      <w:lang w:val="en-US" w:eastAsia="zh-CN" w:bidi="ar-SA"/>
    </w:rPr>
  </w:style>
  <w:style w:type="paragraph" w:styleId="4">
    <w:name w:val="heading 1"/>
    <w:basedOn w:val="1"/>
    <w:next w:val="1"/>
    <w:autoRedefine/>
    <w:qFormat/>
    <w:uiPriority w:val="0"/>
    <w:pPr>
      <w:keepNext/>
      <w:keepLines/>
      <w:spacing w:line="578" w:lineRule="auto"/>
      <w:outlineLvl w:val="0"/>
    </w:pPr>
    <w:rPr>
      <w:b/>
      <w:bCs/>
      <w:kern w:val="44"/>
      <w:sz w:val="32"/>
      <w:szCs w:val="44"/>
    </w:rPr>
  </w:style>
  <w:style w:type="paragraph" w:styleId="5">
    <w:name w:val="heading 2"/>
    <w:basedOn w:val="1"/>
    <w:next w:val="6"/>
    <w:autoRedefine/>
    <w:qFormat/>
    <w:uiPriority w:val="0"/>
    <w:pPr>
      <w:keepNext/>
      <w:keepLines/>
      <w:spacing w:line="416" w:lineRule="auto"/>
      <w:outlineLvl w:val="1"/>
    </w:pPr>
    <w:rPr>
      <w:rFonts w:ascii="Cambria" w:hAnsi="Cambria"/>
      <w:b/>
      <w:bCs/>
      <w:sz w:val="32"/>
      <w:szCs w:val="32"/>
    </w:rPr>
  </w:style>
  <w:style w:type="character" w:default="1" w:styleId="11">
    <w:name w:val="Default Paragraph Font"/>
    <w:autoRedefine/>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2">
    <w:name w:val="Body Text"/>
    <w:basedOn w:val="1"/>
    <w:next w:val="3"/>
    <w:autoRedefine/>
    <w:unhideWhenUsed/>
    <w:qFormat/>
    <w:uiPriority w:val="99"/>
    <w:pPr>
      <w:spacing w:after="120"/>
    </w:pPr>
    <w:rPr>
      <w:kern w:val="0"/>
    </w:rPr>
  </w:style>
  <w:style w:type="paragraph" w:styleId="3">
    <w:name w:val="Normal Indent"/>
    <w:basedOn w:val="1"/>
    <w:next w:val="1"/>
    <w:qFormat/>
    <w:uiPriority w:val="0"/>
    <w:pPr>
      <w:ind w:firstLine="420"/>
    </w:pPr>
  </w:style>
  <w:style w:type="paragraph" w:styleId="6">
    <w:name w:val="Body Text First Indent"/>
    <w:basedOn w:val="2"/>
    <w:autoRedefine/>
    <w:qFormat/>
    <w:uiPriority w:val="0"/>
    <w:pPr>
      <w:spacing w:after="0" w:line="300" w:lineRule="auto"/>
    </w:pPr>
    <w:rPr>
      <w:sz w:val="20"/>
      <w:szCs w:val="21"/>
    </w:rPr>
  </w:style>
  <w:style w:type="paragraph" w:styleId="7">
    <w:name w:val="footer"/>
    <w:basedOn w:val="1"/>
    <w:autoRedefine/>
    <w:qFormat/>
    <w:uiPriority w:val="0"/>
    <w:pPr>
      <w:tabs>
        <w:tab w:val="center" w:pos="4153"/>
        <w:tab w:val="right" w:pos="8306"/>
      </w:tabs>
      <w:snapToGrid w:val="0"/>
      <w:jc w:val="left"/>
    </w:pPr>
    <w:rPr>
      <w:sz w:val="18"/>
    </w:rPr>
  </w:style>
  <w:style w:type="paragraph" w:styleId="8">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autoRedefine/>
    <w:qFormat/>
    <w:uiPriority w:val="0"/>
    <w:pPr>
      <w:spacing w:before="0" w:beforeAutospacing="1" w:after="0" w:afterAutospacing="1"/>
      <w:ind w:left="0" w:right="0"/>
      <w:jc w:val="left"/>
    </w:pPr>
    <w:rPr>
      <w:kern w:val="0"/>
      <w:sz w:val="24"/>
      <w:lang w:val="en-US" w:eastAsia="zh-CN" w:bidi="ar"/>
    </w:rPr>
  </w:style>
  <w:style w:type="character" w:styleId="12">
    <w:name w:val="Strong"/>
    <w:basedOn w:val="11"/>
    <w:autoRedefine/>
    <w:qFormat/>
    <w:uiPriority w:val="0"/>
    <w:rPr>
      <w:b/>
    </w:rPr>
  </w:style>
  <w:style w:type="paragraph" w:customStyle="1" w:styleId="13">
    <w:name w:val="正文2"/>
    <w:basedOn w:val="1"/>
    <w:autoRedefine/>
    <w:qFormat/>
    <w:uiPriority w:val="0"/>
    <w:pPr>
      <w:spacing w:line="360" w:lineRule="auto"/>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2846</Words>
  <Characters>2916</Characters>
  <Lines>0</Lines>
  <Paragraphs>0</Paragraphs>
  <TotalTime>0</TotalTime>
  <ScaleCrop>false</ScaleCrop>
  <LinksUpToDate>false</LinksUpToDate>
  <CharactersWithSpaces>2917</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2023-12-11T03:11:00Z</dcterms:created>
  <dc:creator>天天</dc:creator>
  <cp:lastModifiedBy>天天</cp:lastModifiedBy>
  <cp:lastPrinted>2024-04-18T06:06:00Z</cp:lastPrinted>
  <dcterms:modified xsi:type="dcterms:W3CDTF">2024-04-22T08:13:56Z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579400584D3243EE954E4E5F6ABFA935_13</vt:lpwstr>
  </property>
</Properties>
</file>