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2</w:t>
      </w:r>
    </w:p>
    <w:p>
      <w:pPr>
        <w:spacing w:line="560" w:lineRule="exact"/>
        <w:jc w:val="center"/>
        <w:outlineLvl w:val="0"/>
        <w:rPr>
          <w:rFonts w:hint="eastAsia" w:ascii="方正小标宋简体" w:hAnsi="黑体" w:eastAsia="方正小标宋简体" w:cs="宋体"/>
          <w:color w:val="000000"/>
          <w:sz w:val="44"/>
          <w:szCs w:val="44"/>
        </w:rPr>
      </w:pPr>
    </w:p>
    <w:p>
      <w:pPr>
        <w:spacing w:line="560" w:lineRule="exact"/>
        <w:jc w:val="center"/>
        <w:outlineLvl w:val="0"/>
      </w:pPr>
      <w:r>
        <w:rPr>
          <w:rFonts w:hint="eastAsia" w:ascii="方正小标宋简体" w:hAnsi="黑体" w:eastAsia="方正小标宋简体" w:cs="宋体"/>
          <w:color w:val="000000"/>
          <w:sz w:val="44"/>
          <w:szCs w:val="44"/>
        </w:rPr>
        <w:t>湖北省药品监督管理局业务系统维护</w:t>
      </w:r>
      <w:r>
        <w:rPr>
          <w:rFonts w:hint="eastAsia" w:ascii="方正小标宋简体" w:hAnsi="黑体" w:eastAsia="方正小标宋简体" w:cs="宋体"/>
          <w:color w:val="000000"/>
          <w:sz w:val="44"/>
          <w:szCs w:val="44"/>
          <w:lang w:val="en-US" w:eastAsia="zh-CN"/>
        </w:rPr>
        <w:t>服务</w:t>
      </w:r>
      <w:r>
        <w:rPr>
          <w:rFonts w:hint="eastAsia" w:ascii="方正小标宋简体" w:hAnsi="黑体" w:eastAsia="方正小标宋简体" w:cs="宋体"/>
          <w:color w:val="000000"/>
          <w:sz w:val="44"/>
          <w:szCs w:val="44"/>
        </w:rPr>
        <w:t>项目采购需求</w:t>
      </w:r>
    </w:p>
    <w:p>
      <w:pPr>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660" w:lineRule="exact"/>
        <w:ind w:left="280" w:hanging="280" w:hangingChars="100"/>
        <w:textAlignment w:val="auto"/>
        <w:rPr>
          <w:rFonts w:hint="default" w:ascii="宋体" w:hAnsi="宋体" w:eastAsiaTheme="minorEastAsia"/>
          <w:sz w:val="28"/>
          <w:szCs w:val="24"/>
          <w:lang w:val="en-US" w:eastAsia="zh-CN"/>
        </w:rPr>
      </w:pPr>
      <w:r>
        <w:rPr>
          <w:rFonts w:hint="eastAsia" w:ascii="宋体" w:hAnsi="宋体"/>
          <w:sz w:val="28"/>
          <w:szCs w:val="24"/>
        </w:rPr>
        <w:t>政府采购计划备案号：</w:t>
      </w:r>
      <w:r>
        <w:rPr>
          <w:rFonts w:hint="eastAsia" w:ascii="宋体" w:hAnsi="宋体"/>
          <w:sz w:val="28"/>
          <w:szCs w:val="24"/>
          <w:lang w:val="en-US" w:eastAsia="zh-CN"/>
        </w:rPr>
        <w:t>420000-2023-06578</w:t>
      </w:r>
    </w:p>
    <w:p>
      <w:pPr>
        <w:pStyle w:val="2"/>
        <w:keepNext w:val="0"/>
        <w:keepLines w:val="0"/>
        <w:pageBreakBefore w:val="0"/>
        <w:widowControl w:val="0"/>
        <w:kinsoku/>
        <w:wordWrap/>
        <w:overflowPunct/>
        <w:topLinePunct w:val="0"/>
        <w:autoSpaceDE/>
        <w:autoSpaceDN/>
        <w:bidi w:val="0"/>
        <w:adjustRightInd/>
        <w:snapToGrid/>
        <w:spacing w:after="0" w:line="660" w:lineRule="exact"/>
        <w:textAlignment w:val="auto"/>
        <w:rPr>
          <w:rFonts w:hint="eastAsia" w:ascii="宋体" w:hAnsi="宋体"/>
          <w:sz w:val="28"/>
          <w:szCs w:val="24"/>
        </w:rPr>
      </w:pPr>
      <w:r>
        <w:rPr>
          <w:rFonts w:hint="eastAsia" w:ascii="宋体" w:hAnsi="宋体"/>
          <w:sz w:val="28"/>
          <w:szCs w:val="24"/>
        </w:rPr>
        <w:t>项目名称：湖北省药品监督管理局业务系统维护</w:t>
      </w:r>
      <w:r>
        <w:rPr>
          <w:rFonts w:hint="eastAsia" w:ascii="宋体" w:hAnsi="宋体"/>
          <w:sz w:val="28"/>
          <w:szCs w:val="24"/>
          <w:lang w:val="en-US" w:eastAsia="zh-CN"/>
        </w:rPr>
        <w:t>服务</w:t>
      </w:r>
      <w:r>
        <w:rPr>
          <w:rFonts w:hint="eastAsia" w:ascii="宋体" w:hAnsi="宋体"/>
          <w:sz w:val="28"/>
          <w:szCs w:val="24"/>
        </w:rPr>
        <w:t>项目</w:t>
      </w:r>
    </w:p>
    <w:p>
      <w:pPr>
        <w:keepNext w:val="0"/>
        <w:keepLines w:val="0"/>
        <w:pageBreakBefore w:val="0"/>
        <w:widowControl w:val="0"/>
        <w:kinsoku/>
        <w:wordWrap/>
        <w:overflowPunct/>
        <w:topLinePunct w:val="0"/>
        <w:autoSpaceDE/>
        <w:autoSpaceDN/>
        <w:bidi w:val="0"/>
        <w:adjustRightInd/>
        <w:snapToGrid/>
        <w:spacing w:line="660" w:lineRule="exact"/>
        <w:ind w:left="280" w:hanging="280" w:hangingChars="100"/>
        <w:textAlignment w:val="auto"/>
        <w:rPr>
          <w:rFonts w:hint="eastAsia" w:ascii="宋体" w:hAnsi="宋体"/>
          <w:sz w:val="28"/>
          <w:szCs w:val="24"/>
        </w:rPr>
      </w:pPr>
      <w:r>
        <w:rPr>
          <w:rFonts w:hint="eastAsia" w:ascii="宋体" w:hAnsi="宋体"/>
          <w:sz w:val="28"/>
          <w:szCs w:val="24"/>
        </w:rPr>
        <w:t>采购预算：人民币91万元；最高限价：人民币91万元</w:t>
      </w:r>
    </w:p>
    <w:p>
      <w:pPr>
        <w:keepNext w:val="0"/>
        <w:keepLines w:val="0"/>
        <w:pageBreakBefore w:val="0"/>
        <w:widowControl w:val="0"/>
        <w:kinsoku/>
        <w:wordWrap/>
        <w:overflowPunct/>
        <w:topLinePunct w:val="0"/>
        <w:autoSpaceDE/>
        <w:autoSpaceDN/>
        <w:bidi w:val="0"/>
        <w:adjustRightInd/>
        <w:snapToGrid/>
        <w:spacing w:line="660" w:lineRule="exact"/>
        <w:ind w:left="280" w:hanging="280" w:hangingChars="100"/>
        <w:textAlignment w:val="auto"/>
        <w:rPr>
          <w:rFonts w:ascii="宋体" w:hAnsi="宋体"/>
          <w:sz w:val="28"/>
          <w:szCs w:val="24"/>
        </w:rPr>
      </w:pPr>
      <w:r>
        <w:rPr>
          <w:rFonts w:hint="eastAsia" w:ascii="宋体" w:hAnsi="宋体"/>
          <w:sz w:val="28"/>
          <w:szCs w:val="24"/>
        </w:rPr>
        <w:t>采</w:t>
      </w:r>
      <w:r>
        <w:rPr>
          <w:rFonts w:ascii="宋体" w:hAnsi="宋体"/>
          <w:sz w:val="28"/>
          <w:szCs w:val="24"/>
        </w:rPr>
        <w:t xml:space="preserve"> </w:t>
      </w:r>
      <w:r>
        <w:rPr>
          <w:rFonts w:hint="eastAsia" w:ascii="宋体" w:hAnsi="宋体"/>
          <w:sz w:val="28"/>
          <w:szCs w:val="24"/>
        </w:rPr>
        <w:t>购</w:t>
      </w:r>
      <w:r>
        <w:rPr>
          <w:rFonts w:ascii="宋体" w:hAnsi="宋体"/>
          <w:sz w:val="28"/>
          <w:szCs w:val="24"/>
        </w:rPr>
        <w:t xml:space="preserve"> </w:t>
      </w:r>
      <w:r>
        <w:rPr>
          <w:rFonts w:hint="eastAsia" w:ascii="宋体" w:hAnsi="宋体"/>
          <w:sz w:val="28"/>
          <w:szCs w:val="24"/>
        </w:rPr>
        <w:t>人：湖北省药品监督管理局</w:t>
      </w:r>
    </w:p>
    <w:p>
      <w:pPr>
        <w:keepNext w:val="0"/>
        <w:keepLines w:val="0"/>
        <w:pageBreakBefore w:val="0"/>
        <w:widowControl w:val="0"/>
        <w:kinsoku/>
        <w:wordWrap/>
        <w:overflowPunct/>
        <w:topLinePunct w:val="0"/>
        <w:autoSpaceDE/>
        <w:autoSpaceDN/>
        <w:bidi w:val="0"/>
        <w:adjustRightInd/>
        <w:snapToGrid/>
        <w:spacing w:line="660" w:lineRule="exact"/>
        <w:ind w:left="280" w:hanging="280" w:hangingChars="100"/>
        <w:textAlignment w:val="auto"/>
        <w:rPr>
          <w:rFonts w:ascii="宋体" w:hAnsi="宋体"/>
          <w:sz w:val="28"/>
          <w:szCs w:val="24"/>
        </w:rPr>
      </w:pPr>
      <w:r>
        <w:rPr>
          <w:rFonts w:hint="eastAsia" w:ascii="宋体" w:hAnsi="宋体"/>
          <w:sz w:val="28"/>
          <w:szCs w:val="24"/>
        </w:rPr>
        <w:t>联</w:t>
      </w:r>
      <w:r>
        <w:rPr>
          <w:rFonts w:ascii="宋体" w:hAnsi="宋体"/>
          <w:sz w:val="28"/>
          <w:szCs w:val="24"/>
        </w:rPr>
        <w:t xml:space="preserve"> </w:t>
      </w:r>
      <w:r>
        <w:rPr>
          <w:rFonts w:hint="eastAsia" w:ascii="宋体" w:hAnsi="宋体"/>
          <w:sz w:val="28"/>
          <w:szCs w:val="24"/>
        </w:rPr>
        <w:t>系</w:t>
      </w:r>
      <w:r>
        <w:rPr>
          <w:rFonts w:ascii="宋体" w:hAnsi="宋体"/>
          <w:sz w:val="28"/>
          <w:szCs w:val="24"/>
        </w:rPr>
        <w:t xml:space="preserve"> </w:t>
      </w:r>
      <w:r>
        <w:rPr>
          <w:rFonts w:hint="eastAsia" w:ascii="宋体" w:hAnsi="宋体"/>
          <w:sz w:val="28"/>
          <w:szCs w:val="24"/>
        </w:rPr>
        <w:t>人：</w:t>
      </w:r>
      <w:r>
        <w:rPr>
          <w:rFonts w:hint="eastAsia" w:ascii="宋体" w:hAnsi="宋体"/>
          <w:color w:val="000000"/>
          <w:sz w:val="28"/>
          <w:szCs w:val="24"/>
        </w:rPr>
        <w:t>王婷</w:t>
      </w:r>
    </w:p>
    <w:p>
      <w:pPr>
        <w:keepNext w:val="0"/>
        <w:keepLines w:val="0"/>
        <w:pageBreakBefore w:val="0"/>
        <w:widowControl w:val="0"/>
        <w:kinsoku/>
        <w:wordWrap/>
        <w:overflowPunct/>
        <w:topLinePunct w:val="0"/>
        <w:autoSpaceDE/>
        <w:autoSpaceDN/>
        <w:bidi w:val="0"/>
        <w:adjustRightInd/>
        <w:snapToGrid/>
        <w:spacing w:line="660" w:lineRule="exact"/>
        <w:ind w:left="280" w:hanging="280" w:hangingChars="100"/>
        <w:textAlignment w:val="auto"/>
        <w:rPr>
          <w:rFonts w:ascii="宋体" w:hAnsi="宋体"/>
          <w:sz w:val="28"/>
          <w:szCs w:val="24"/>
        </w:rPr>
      </w:pPr>
      <w:r>
        <w:rPr>
          <w:rFonts w:hint="eastAsia" w:ascii="宋体" w:hAnsi="宋体"/>
          <w:sz w:val="28"/>
          <w:szCs w:val="24"/>
        </w:rPr>
        <w:t>联系信息：</w:t>
      </w:r>
      <w:r>
        <w:rPr>
          <w:rFonts w:ascii="宋体" w:hAnsi="宋体"/>
          <w:sz w:val="28"/>
          <w:szCs w:val="24"/>
        </w:rPr>
        <w:t>027-87110053</w:t>
      </w:r>
    </w:p>
    <w:p>
      <w:pPr>
        <w:keepNext w:val="0"/>
        <w:keepLines w:val="0"/>
        <w:pageBreakBefore w:val="0"/>
        <w:widowControl w:val="0"/>
        <w:kinsoku/>
        <w:wordWrap/>
        <w:overflowPunct/>
        <w:topLinePunct w:val="0"/>
        <w:autoSpaceDE/>
        <w:autoSpaceDN/>
        <w:bidi w:val="0"/>
        <w:adjustRightInd/>
        <w:snapToGrid/>
        <w:spacing w:line="660" w:lineRule="exact"/>
        <w:ind w:left="280" w:hanging="280" w:hangingChars="100"/>
        <w:textAlignment w:val="auto"/>
        <w:rPr>
          <w:rFonts w:ascii="宋体" w:hAnsi="宋体"/>
          <w:sz w:val="28"/>
          <w:szCs w:val="24"/>
        </w:rPr>
      </w:pPr>
      <w:r>
        <w:rPr>
          <w:rFonts w:hint="eastAsia" w:ascii="宋体" w:hAnsi="宋体"/>
          <w:sz w:val="28"/>
          <w:szCs w:val="24"/>
        </w:rPr>
        <w:t>地</w:t>
      </w:r>
      <w:r>
        <w:rPr>
          <w:rFonts w:ascii="宋体" w:hAnsi="宋体"/>
          <w:sz w:val="28"/>
          <w:szCs w:val="24"/>
        </w:rPr>
        <w:t xml:space="preserve">    </w:t>
      </w:r>
      <w:r>
        <w:rPr>
          <w:rFonts w:hint="eastAsia" w:ascii="宋体" w:hAnsi="宋体"/>
          <w:sz w:val="28"/>
          <w:szCs w:val="24"/>
        </w:rPr>
        <w:t>址：武汉市武昌区公正路19号省局办公大楼</w:t>
      </w:r>
    </w:p>
    <w:p>
      <w:pPr>
        <w:pageBreakBefore w:val="0"/>
        <w:widowControl w:val="0"/>
        <w:shd w:val="clear" w:color="auto" w:fill="FFFFFF"/>
        <w:kinsoku/>
        <w:wordWrap/>
        <w:overflowPunct/>
        <w:topLinePunct w:val="0"/>
        <w:autoSpaceDE/>
        <w:autoSpaceDN/>
        <w:bidi w:val="0"/>
        <w:adjustRightInd/>
        <w:snapToGrid/>
        <w:spacing w:line="640" w:lineRule="exact"/>
        <w:ind w:firstLine="640" w:firstLineChars="200"/>
        <w:textAlignment w:val="auto"/>
        <w:outlineLvl w:val="0"/>
        <w:rPr>
          <w:rFonts w:ascii="方正黑体_GBK" w:hAnsi="宋体" w:eastAsia="方正黑体_GBK" w:cs="宋体"/>
          <w:color w:val="000000"/>
          <w:sz w:val="32"/>
          <w:szCs w:val="32"/>
        </w:rPr>
      </w:pPr>
      <w:r>
        <w:rPr>
          <w:rFonts w:hint="eastAsia" w:ascii="方正黑体_GBK" w:hAnsi="宋体" w:eastAsia="方正黑体_GBK" w:cs="宋体"/>
          <w:color w:val="000000"/>
          <w:sz w:val="32"/>
          <w:szCs w:val="32"/>
        </w:rPr>
        <w:t>一、供应商资格要求</w:t>
      </w:r>
    </w:p>
    <w:p>
      <w:pPr>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ascii="仿宋_GB2312" w:hAnsi="黑体" w:eastAsia="仿宋_GB2312"/>
          <w:color w:val="000000"/>
          <w:sz w:val="32"/>
          <w:szCs w:val="32"/>
        </w:rPr>
      </w:pPr>
      <w:r>
        <w:rPr>
          <w:rFonts w:hint="eastAsia" w:ascii="仿宋_GB2312" w:hAnsi="黑体" w:eastAsia="仿宋_GB2312"/>
          <w:color w:val="000000"/>
          <w:sz w:val="32"/>
          <w:szCs w:val="32"/>
        </w:rPr>
        <w:t>（一）应具备《中华人民共和国政府采购法》第二十二条第一款规定的条件。</w:t>
      </w:r>
    </w:p>
    <w:p>
      <w:pPr>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ascii="仿宋_GB2312" w:hAnsi="黑体" w:eastAsia="仿宋_GB2312"/>
          <w:color w:val="000000"/>
          <w:sz w:val="32"/>
          <w:szCs w:val="32"/>
        </w:rPr>
      </w:pPr>
      <w:r>
        <w:rPr>
          <w:rFonts w:hint="eastAsia" w:ascii="仿宋_GB2312" w:hAnsi="黑体" w:eastAsia="仿宋_GB2312"/>
          <w:color w:val="000000"/>
          <w:sz w:val="32"/>
          <w:szCs w:val="32"/>
        </w:rPr>
        <w:t>（二）</w:t>
      </w:r>
      <w:r>
        <w:rPr>
          <w:rFonts w:hint="eastAsia" w:ascii="仿宋_GB2312" w:hAnsi="黑体" w:eastAsia="仿宋_GB2312"/>
          <w:color w:val="000000"/>
          <w:sz w:val="32"/>
          <w:szCs w:val="32"/>
          <w:lang w:val="en-US" w:eastAsia="zh-CN"/>
        </w:rPr>
        <w:t>供应商</w:t>
      </w:r>
      <w:r>
        <w:rPr>
          <w:rFonts w:hint="eastAsia" w:ascii="仿宋_GB2312" w:hAnsi="黑体" w:eastAsia="仿宋_GB2312"/>
          <w:color w:val="000000"/>
          <w:sz w:val="32"/>
          <w:szCs w:val="32"/>
        </w:rPr>
        <w:t>须在湖北省政府采购网上商城</w:t>
      </w:r>
      <w:r>
        <w:rPr>
          <w:rFonts w:hint="eastAsia" w:ascii="仿宋_GB2312" w:hAnsi="黑体" w:eastAsia="仿宋_GB2312"/>
          <w:color w:val="000000"/>
          <w:sz w:val="32"/>
          <w:szCs w:val="32"/>
          <w:lang w:val="en-US" w:eastAsia="zh-CN"/>
        </w:rPr>
        <w:t>信息技术服务</w:t>
      </w:r>
      <w:bookmarkStart w:id="0" w:name="_GoBack"/>
      <w:bookmarkEnd w:id="0"/>
      <w:r>
        <w:rPr>
          <w:rFonts w:hint="eastAsia" w:ascii="仿宋_GB2312" w:hAnsi="黑体" w:eastAsia="仿宋_GB2312"/>
          <w:color w:val="000000"/>
          <w:sz w:val="32"/>
          <w:szCs w:val="32"/>
        </w:rPr>
        <w:t>服务定点服务商名录范围内。</w:t>
      </w:r>
    </w:p>
    <w:p>
      <w:pPr>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ascii="仿宋_GB2312" w:hAnsi="黑体" w:eastAsia="仿宋_GB2312"/>
          <w:color w:val="000000"/>
          <w:sz w:val="32"/>
          <w:szCs w:val="32"/>
        </w:rPr>
      </w:pPr>
      <w:r>
        <w:rPr>
          <w:rFonts w:hint="eastAsia" w:ascii="仿宋_GB2312" w:hAnsi="黑体" w:eastAsia="仿宋_GB2312"/>
          <w:color w:val="000000"/>
          <w:sz w:val="32"/>
          <w:szCs w:val="32"/>
        </w:rPr>
        <w:t>（三）未被列入“信用中国”网站失信被执行人和重大税收违法案件当事人名单以及“中国政府采购网”政府采购严重违法失信行为记录名单。</w:t>
      </w:r>
    </w:p>
    <w:p>
      <w:pPr>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ascii="仿宋_GB2312" w:hAnsi="黑体" w:eastAsia="仿宋_GB2312"/>
          <w:color w:val="000000"/>
          <w:sz w:val="32"/>
          <w:szCs w:val="32"/>
        </w:rPr>
      </w:pPr>
      <w:r>
        <w:rPr>
          <w:rFonts w:hint="eastAsia" w:ascii="仿宋_GB2312" w:hAnsi="黑体" w:eastAsia="仿宋_GB2312"/>
          <w:color w:val="000000"/>
          <w:sz w:val="32"/>
          <w:szCs w:val="32"/>
        </w:rPr>
        <w:t>（四）是否专门面向中小企业：是。</w:t>
      </w:r>
    </w:p>
    <w:p>
      <w:pPr>
        <w:pageBreakBefore w:val="0"/>
        <w:widowControl w:val="0"/>
        <w:shd w:val="clear" w:color="auto" w:fill="FFFFFF"/>
        <w:kinsoku/>
        <w:wordWrap/>
        <w:overflowPunct/>
        <w:topLinePunct w:val="0"/>
        <w:autoSpaceDE/>
        <w:autoSpaceDN/>
        <w:bidi w:val="0"/>
        <w:adjustRightInd/>
        <w:snapToGrid/>
        <w:spacing w:line="640" w:lineRule="exact"/>
        <w:ind w:firstLine="640" w:firstLineChars="200"/>
        <w:textAlignment w:val="auto"/>
        <w:outlineLvl w:val="0"/>
        <w:rPr>
          <w:rFonts w:hint="eastAsia" w:ascii="方正黑体_GBK" w:hAnsi="宋体" w:eastAsia="方正黑体_GBK" w:cs="宋体"/>
          <w:color w:val="000000"/>
          <w:sz w:val="32"/>
          <w:szCs w:val="32"/>
        </w:rPr>
      </w:pPr>
      <w:r>
        <w:rPr>
          <w:rFonts w:hint="eastAsia" w:ascii="方正黑体_GBK" w:hAnsi="宋体" w:eastAsia="方正黑体_GBK" w:cs="宋体"/>
          <w:color w:val="000000"/>
          <w:sz w:val="32"/>
          <w:szCs w:val="32"/>
        </w:rPr>
        <w:t>二、采购需求</w:t>
      </w:r>
    </w:p>
    <w:p>
      <w:pPr>
        <w:pStyle w:val="3"/>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_GB2312" w:hAnsi="黑体" w:eastAsia="仿宋_GB2312"/>
          <w:color w:val="000000"/>
        </w:rPr>
      </w:pPr>
      <w:r>
        <w:rPr>
          <w:rFonts w:ascii="仿宋_GB2312" w:hAnsi="黑体" w:eastAsia="仿宋_GB2312"/>
          <w:color w:val="000000"/>
        </w:rPr>
        <w:t>2</w:t>
      </w:r>
      <w:r>
        <w:rPr>
          <w:rFonts w:hint="eastAsia" w:ascii="仿宋_GB2312" w:hAnsi="黑体" w:eastAsia="仿宋_GB2312"/>
          <w:color w:val="000000"/>
        </w:rPr>
        <w:t>.1采购货物（服务）清单</w:t>
      </w:r>
    </w:p>
    <w:tbl>
      <w:tblPr>
        <w:tblStyle w:val="7"/>
        <w:tblW w:w="48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3493"/>
        <w:gridCol w:w="1220"/>
        <w:gridCol w:w="1220"/>
        <w:gridCol w:w="1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88" w:type="pct"/>
            <w:noWrap/>
            <w:vAlign w:val="center"/>
          </w:tcPr>
          <w:p>
            <w:pPr>
              <w:widowControl/>
              <w:spacing w:line="560" w:lineRule="exact"/>
              <w:jc w:val="center"/>
              <w:rPr>
                <w:rFonts w:hint="eastAsia" w:ascii="黑体" w:hAnsi="黑体" w:eastAsia="黑体" w:cs="黑体"/>
                <w:color w:val="000000"/>
                <w:sz w:val="28"/>
                <w:szCs w:val="28"/>
              </w:rPr>
            </w:pPr>
            <w:r>
              <w:rPr>
                <w:rFonts w:hint="eastAsia" w:ascii="黑体" w:hAnsi="黑体" w:eastAsia="黑体" w:cs="黑体"/>
                <w:color w:val="000000"/>
                <w:sz w:val="28"/>
                <w:szCs w:val="28"/>
              </w:rPr>
              <w:t>序号</w:t>
            </w:r>
          </w:p>
        </w:tc>
        <w:tc>
          <w:tcPr>
            <w:tcW w:w="2099" w:type="pct"/>
            <w:noWrap/>
            <w:vAlign w:val="center"/>
          </w:tcPr>
          <w:p>
            <w:pPr>
              <w:widowControl/>
              <w:spacing w:line="560" w:lineRule="exact"/>
              <w:jc w:val="center"/>
              <w:rPr>
                <w:rFonts w:hint="eastAsia" w:ascii="黑体" w:hAnsi="黑体" w:eastAsia="黑体" w:cs="黑体"/>
                <w:color w:val="000000"/>
                <w:sz w:val="28"/>
                <w:szCs w:val="28"/>
              </w:rPr>
            </w:pPr>
            <w:r>
              <w:rPr>
                <w:rFonts w:hint="eastAsia" w:ascii="黑体" w:hAnsi="黑体" w:eastAsia="黑体" w:cs="黑体"/>
                <w:color w:val="000000"/>
                <w:sz w:val="28"/>
                <w:szCs w:val="28"/>
              </w:rPr>
              <w:t>名称</w:t>
            </w:r>
          </w:p>
        </w:tc>
        <w:tc>
          <w:tcPr>
            <w:tcW w:w="733" w:type="pct"/>
            <w:noWrap w:val="0"/>
            <w:vAlign w:val="top"/>
          </w:tcPr>
          <w:p>
            <w:pPr>
              <w:widowControl/>
              <w:spacing w:line="560" w:lineRule="exact"/>
              <w:jc w:val="center"/>
              <w:rPr>
                <w:rFonts w:hint="eastAsia" w:ascii="黑体" w:hAnsi="黑体" w:eastAsia="黑体" w:cs="黑体"/>
                <w:color w:val="000000"/>
                <w:kern w:val="0"/>
                <w:sz w:val="28"/>
                <w:szCs w:val="28"/>
              </w:rPr>
            </w:pPr>
            <w:r>
              <w:rPr>
                <w:rFonts w:hint="eastAsia" w:ascii="黑体" w:hAnsi="黑体" w:eastAsia="黑体" w:cs="黑体"/>
                <w:color w:val="000000"/>
                <w:kern w:val="0"/>
                <w:sz w:val="28"/>
                <w:szCs w:val="28"/>
              </w:rPr>
              <w:t>类别</w:t>
            </w:r>
          </w:p>
        </w:tc>
        <w:tc>
          <w:tcPr>
            <w:tcW w:w="733" w:type="pct"/>
            <w:noWrap/>
            <w:vAlign w:val="center"/>
          </w:tcPr>
          <w:p>
            <w:pPr>
              <w:widowControl/>
              <w:spacing w:line="560" w:lineRule="exact"/>
              <w:jc w:val="center"/>
              <w:rPr>
                <w:rFonts w:hint="eastAsia" w:ascii="黑体" w:hAnsi="黑体" w:eastAsia="黑体" w:cs="黑体"/>
                <w:color w:val="000000"/>
                <w:kern w:val="0"/>
                <w:sz w:val="28"/>
                <w:szCs w:val="28"/>
              </w:rPr>
            </w:pPr>
            <w:r>
              <w:rPr>
                <w:rFonts w:hint="eastAsia" w:ascii="黑体" w:hAnsi="黑体" w:eastAsia="黑体" w:cs="黑体"/>
                <w:color w:val="000000"/>
                <w:kern w:val="0"/>
                <w:sz w:val="28"/>
                <w:szCs w:val="28"/>
              </w:rPr>
              <w:t>数量</w:t>
            </w:r>
          </w:p>
        </w:tc>
        <w:tc>
          <w:tcPr>
            <w:tcW w:w="947" w:type="pct"/>
            <w:noWrap/>
            <w:vAlign w:val="center"/>
          </w:tcPr>
          <w:p>
            <w:pPr>
              <w:widowControl/>
              <w:spacing w:line="560" w:lineRule="exact"/>
              <w:jc w:val="center"/>
              <w:rPr>
                <w:rFonts w:hint="eastAsia" w:ascii="黑体" w:hAnsi="黑体" w:eastAsia="黑体" w:cs="黑体"/>
                <w:color w:val="000000"/>
                <w:kern w:val="0"/>
                <w:sz w:val="28"/>
                <w:szCs w:val="28"/>
              </w:rPr>
            </w:pPr>
            <w:r>
              <w:rPr>
                <w:rFonts w:hint="eastAsia" w:ascii="黑体" w:hAnsi="黑体" w:eastAsia="黑体" w:cs="黑体"/>
                <w:color w:val="000000"/>
                <w:kern w:val="0"/>
                <w:sz w:val="28"/>
                <w:szCs w:val="28"/>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88" w:type="pct"/>
            <w:noWrap/>
            <w:vAlign w:val="center"/>
          </w:tcPr>
          <w:p>
            <w:pPr>
              <w:widowControl/>
              <w:spacing w:line="560" w:lineRule="exact"/>
              <w:jc w:val="center"/>
              <w:rPr>
                <w:rFonts w:ascii="宋体" w:hAnsi="宋体" w:cs="宋体"/>
                <w:color w:val="000000"/>
                <w:sz w:val="28"/>
                <w:szCs w:val="28"/>
              </w:rPr>
            </w:pPr>
            <w:r>
              <w:rPr>
                <w:rFonts w:hint="eastAsia" w:ascii="宋体" w:hAnsi="宋体" w:cs="宋体"/>
                <w:color w:val="000000"/>
                <w:sz w:val="28"/>
                <w:szCs w:val="28"/>
              </w:rPr>
              <w:t>1</w:t>
            </w:r>
          </w:p>
        </w:tc>
        <w:tc>
          <w:tcPr>
            <w:tcW w:w="2099" w:type="pct"/>
            <w:noWrap w:val="0"/>
            <w:vAlign w:val="center"/>
          </w:tcPr>
          <w:p>
            <w:pP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执法处罚系统维护</w:t>
            </w:r>
          </w:p>
        </w:tc>
        <w:tc>
          <w:tcPr>
            <w:tcW w:w="733" w:type="pct"/>
            <w:noWrap w:val="0"/>
            <w:vAlign w:val="top"/>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服务类</w:t>
            </w:r>
          </w:p>
        </w:tc>
        <w:tc>
          <w:tcPr>
            <w:tcW w:w="733"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1</w:t>
            </w:r>
          </w:p>
        </w:tc>
        <w:tc>
          <w:tcPr>
            <w:tcW w:w="947"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88" w:type="pct"/>
            <w:noWrap/>
            <w:vAlign w:val="center"/>
          </w:tcPr>
          <w:p>
            <w:pPr>
              <w:widowControl/>
              <w:spacing w:line="560" w:lineRule="exact"/>
              <w:jc w:val="center"/>
              <w:rPr>
                <w:rFonts w:hint="eastAsia" w:ascii="宋体" w:hAnsi="宋体" w:cs="宋体"/>
                <w:color w:val="000000"/>
                <w:sz w:val="28"/>
                <w:szCs w:val="28"/>
              </w:rPr>
            </w:pPr>
            <w:r>
              <w:rPr>
                <w:rFonts w:hint="eastAsia" w:ascii="宋体" w:hAnsi="宋体" w:cs="宋体"/>
                <w:color w:val="000000"/>
                <w:sz w:val="28"/>
                <w:szCs w:val="28"/>
              </w:rPr>
              <w:t>2</w:t>
            </w:r>
          </w:p>
        </w:tc>
        <w:tc>
          <w:tcPr>
            <w:tcW w:w="2099" w:type="pct"/>
            <w:noWrap w:val="0"/>
            <w:vAlign w:val="center"/>
          </w:tcPr>
          <w:p>
            <w:pP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电子证书系统维护</w:t>
            </w:r>
          </w:p>
        </w:tc>
        <w:tc>
          <w:tcPr>
            <w:tcW w:w="733" w:type="pct"/>
            <w:noWrap w:val="0"/>
            <w:vAlign w:val="top"/>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服务类</w:t>
            </w:r>
          </w:p>
        </w:tc>
        <w:tc>
          <w:tcPr>
            <w:tcW w:w="733"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1</w:t>
            </w:r>
          </w:p>
        </w:tc>
        <w:tc>
          <w:tcPr>
            <w:tcW w:w="947"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88" w:type="pct"/>
            <w:noWrap/>
            <w:vAlign w:val="center"/>
          </w:tcPr>
          <w:p>
            <w:pPr>
              <w:widowControl/>
              <w:spacing w:line="560" w:lineRule="exact"/>
              <w:jc w:val="center"/>
              <w:rPr>
                <w:rFonts w:hint="eastAsia" w:ascii="宋体" w:hAnsi="宋体" w:cs="宋体"/>
                <w:color w:val="000000"/>
                <w:sz w:val="28"/>
                <w:szCs w:val="28"/>
              </w:rPr>
            </w:pPr>
            <w:r>
              <w:rPr>
                <w:rFonts w:hint="eastAsia" w:ascii="宋体" w:hAnsi="宋体" w:cs="宋体"/>
                <w:color w:val="000000"/>
                <w:sz w:val="28"/>
                <w:szCs w:val="28"/>
              </w:rPr>
              <w:t>3</w:t>
            </w:r>
          </w:p>
        </w:tc>
        <w:tc>
          <w:tcPr>
            <w:tcW w:w="2099" w:type="pct"/>
            <w:noWrap w:val="0"/>
            <w:vAlign w:val="center"/>
          </w:tcPr>
          <w:p>
            <w:pP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日常监管系统维护</w:t>
            </w:r>
          </w:p>
        </w:tc>
        <w:tc>
          <w:tcPr>
            <w:tcW w:w="733" w:type="pct"/>
            <w:noWrap w:val="0"/>
            <w:vAlign w:val="top"/>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服务类</w:t>
            </w:r>
          </w:p>
        </w:tc>
        <w:tc>
          <w:tcPr>
            <w:tcW w:w="733"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1</w:t>
            </w:r>
          </w:p>
        </w:tc>
        <w:tc>
          <w:tcPr>
            <w:tcW w:w="947"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88" w:type="pct"/>
            <w:noWrap/>
            <w:vAlign w:val="center"/>
          </w:tcPr>
          <w:p>
            <w:pPr>
              <w:widowControl/>
              <w:spacing w:line="560" w:lineRule="exact"/>
              <w:jc w:val="center"/>
              <w:rPr>
                <w:rFonts w:hint="eastAsia" w:ascii="宋体" w:hAnsi="宋体" w:cs="宋体"/>
                <w:color w:val="000000"/>
                <w:sz w:val="28"/>
                <w:szCs w:val="28"/>
              </w:rPr>
            </w:pPr>
            <w:r>
              <w:rPr>
                <w:rFonts w:hint="eastAsia" w:ascii="宋体" w:hAnsi="宋体" w:cs="宋体"/>
                <w:color w:val="000000"/>
                <w:sz w:val="28"/>
                <w:szCs w:val="28"/>
              </w:rPr>
              <w:t>4</w:t>
            </w:r>
          </w:p>
        </w:tc>
        <w:tc>
          <w:tcPr>
            <w:tcW w:w="2099" w:type="pct"/>
            <w:noWrap w:val="0"/>
            <w:vAlign w:val="center"/>
          </w:tcPr>
          <w:p>
            <w:pP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内外网单点登录维护</w:t>
            </w:r>
          </w:p>
        </w:tc>
        <w:tc>
          <w:tcPr>
            <w:tcW w:w="733" w:type="pct"/>
            <w:noWrap w:val="0"/>
            <w:vAlign w:val="top"/>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服务类</w:t>
            </w:r>
          </w:p>
        </w:tc>
        <w:tc>
          <w:tcPr>
            <w:tcW w:w="733"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1</w:t>
            </w:r>
          </w:p>
        </w:tc>
        <w:tc>
          <w:tcPr>
            <w:tcW w:w="947"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88" w:type="pct"/>
            <w:noWrap/>
            <w:vAlign w:val="center"/>
          </w:tcPr>
          <w:p>
            <w:pPr>
              <w:widowControl/>
              <w:spacing w:line="560" w:lineRule="exact"/>
              <w:jc w:val="center"/>
              <w:rPr>
                <w:rFonts w:hint="eastAsia" w:ascii="宋体" w:hAnsi="宋体" w:cs="宋体"/>
                <w:color w:val="000000"/>
                <w:sz w:val="28"/>
                <w:szCs w:val="28"/>
              </w:rPr>
            </w:pPr>
            <w:r>
              <w:rPr>
                <w:rFonts w:hint="eastAsia" w:ascii="宋体" w:hAnsi="宋体" w:cs="宋体"/>
                <w:color w:val="000000"/>
                <w:sz w:val="28"/>
                <w:szCs w:val="28"/>
              </w:rPr>
              <w:t>5</w:t>
            </w:r>
          </w:p>
        </w:tc>
        <w:tc>
          <w:tcPr>
            <w:tcW w:w="2099" w:type="pct"/>
            <w:noWrap w:val="0"/>
            <w:vAlign w:val="center"/>
          </w:tcPr>
          <w:p>
            <w:pP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风险预警系统维护</w:t>
            </w:r>
          </w:p>
        </w:tc>
        <w:tc>
          <w:tcPr>
            <w:tcW w:w="733" w:type="pct"/>
            <w:noWrap w:val="0"/>
            <w:vAlign w:val="top"/>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服务类</w:t>
            </w:r>
          </w:p>
        </w:tc>
        <w:tc>
          <w:tcPr>
            <w:tcW w:w="733"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1</w:t>
            </w:r>
          </w:p>
        </w:tc>
        <w:tc>
          <w:tcPr>
            <w:tcW w:w="947" w:type="pct"/>
            <w:noWrap/>
            <w:vAlign w:val="center"/>
          </w:tcPr>
          <w:p>
            <w:pPr>
              <w:widowControl/>
              <w:spacing w:line="560" w:lineRule="exact"/>
              <w:jc w:val="center"/>
              <w:rPr>
                <w:rFonts w:hint="eastAsia" w:ascii="仿宋_GB2312" w:hAnsi="黑体" w:eastAsia="仿宋_GB2312" w:cs="Times New Roman"/>
                <w:color w:val="000000"/>
                <w:kern w:val="2"/>
                <w:sz w:val="28"/>
                <w:szCs w:val="28"/>
                <w:lang w:val="en-US" w:eastAsia="zh-CN" w:bidi="ar-SA"/>
              </w:rPr>
            </w:pPr>
            <w:r>
              <w:rPr>
                <w:rFonts w:hint="eastAsia" w:ascii="仿宋_GB2312" w:hAnsi="黑体" w:eastAsia="仿宋_GB2312" w:cs="Times New Roman"/>
                <w:color w:val="000000"/>
                <w:kern w:val="2"/>
                <w:sz w:val="28"/>
                <w:szCs w:val="28"/>
                <w:lang w:val="en-US" w:eastAsia="zh-CN" w:bidi="ar-SA"/>
              </w:rPr>
              <w:t>项</w:t>
            </w:r>
          </w:p>
        </w:tc>
      </w:tr>
    </w:tbl>
    <w:p>
      <w:pPr>
        <w:pStyle w:val="3"/>
        <w:spacing w:line="520" w:lineRule="exact"/>
        <w:ind w:firstLine="643" w:firstLineChars="200"/>
        <w:rPr>
          <w:rFonts w:hint="eastAsia" w:ascii="仿宋_GB2312" w:hAnsi="黑体" w:eastAsia="仿宋_GB2312"/>
          <w:color w:val="000000"/>
        </w:rPr>
      </w:pPr>
      <w:r>
        <w:rPr>
          <w:rFonts w:ascii="仿宋_GB2312" w:hAnsi="黑体" w:eastAsia="仿宋_GB2312"/>
          <w:color w:val="000000"/>
        </w:rPr>
        <w:t>2</w:t>
      </w:r>
      <w:r>
        <w:rPr>
          <w:rFonts w:hint="eastAsia" w:ascii="仿宋_GB2312" w:hAnsi="黑体" w:eastAsia="仿宋_GB2312"/>
          <w:color w:val="000000"/>
        </w:rPr>
        <w:t>.2项目基本情况</w:t>
      </w:r>
    </w:p>
    <w:p>
      <w:pPr>
        <w:pStyle w:val="4"/>
        <w:spacing w:line="520" w:lineRule="exact"/>
        <w:ind w:firstLine="640" w:firstLineChars="200"/>
        <w:rPr>
          <w:rFonts w:hint="eastAsia" w:ascii="仿宋" w:hAnsi="仿宋" w:eastAsia="仿宋" w:cs="方正仿宋_GBK"/>
          <w:sz w:val="32"/>
          <w:szCs w:val="32"/>
        </w:rPr>
      </w:pPr>
      <w:r>
        <w:rPr>
          <w:rFonts w:hint="eastAsia" w:ascii="仿宋_GB2312" w:hAnsi="黑体" w:eastAsia="仿宋_GB2312"/>
          <w:color w:val="000000"/>
          <w:kern w:val="2"/>
          <w:sz w:val="32"/>
          <w:szCs w:val="32"/>
        </w:rPr>
        <w:t>围绕《国家药品监督管理局关于加快推进药品智慧监管的行动计划》《关于加强和规范事中事后监管的实施意见》，结合湖北省药品安全监管业务实际需求，建设</w:t>
      </w:r>
      <w:r>
        <w:rPr>
          <w:rFonts w:ascii="仿宋_GB2312" w:hAnsi="黑体" w:eastAsia="仿宋_GB2312"/>
          <w:color w:val="000000"/>
          <w:kern w:val="2"/>
          <w:sz w:val="32"/>
          <w:szCs w:val="32"/>
        </w:rPr>
        <w:t>了执法</w:t>
      </w:r>
      <w:r>
        <w:rPr>
          <w:rFonts w:hint="eastAsia" w:ascii="仿宋_GB2312" w:hAnsi="黑体" w:eastAsia="仿宋_GB2312"/>
          <w:color w:val="000000"/>
          <w:kern w:val="2"/>
          <w:sz w:val="32"/>
          <w:szCs w:val="32"/>
        </w:rPr>
        <w:t>处罚</w:t>
      </w:r>
      <w:r>
        <w:rPr>
          <w:rFonts w:ascii="仿宋_GB2312" w:hAnsi="黑体" w:eastAsia="仿宋_GB2312"/>
          <w:color w:val="000000"/>
          <w:kern w:val="2"/>
          <w:sz w:val="32"/>
          <w:szCs w:val="32"/>
        </w:rPr>
        <w:t>、</w:t>
      </w:r>
      <w:r>
        <w:rPr>
          <w:rFonts w:hint="eastAsia" w:ascii="仿宋_GB2312" w:hAnsi="黑体" w:eastAsia="仿宋_GB2312"/>
          <w:color w:val="000000"/>
          <w:kern w:val="2"/>
          <w:sz w:val="32"/>
          <w:szCs w:val="32"/>
        </w:rPr>
        <w:t>电子</w:t>
      </w:r>
      <w:r>
        <w:rPr>
          <w:rFonts w:ascii="仿宋_GB2312" w:hAnsi="黑体" w:eastAsia="仿宋_GB2312"/>
          <w:color w:val="000000"/>
          <w:kern w:val="2"/>
          <w:sz w:val="32"/>
          <w:szCs w:val="32"/>
        </w:rPr>
        <w:t>证书、日常监管、</w:t>
      </w:r>
      <w:r>
        <w:rPr>
          <w:rFonts w:hint="eastAsia" w:ascii="仿宋_GB2312" w:hAnsi="黑体" w:eastAsia="仿宋_GB2312"/>
          <w:color w:val="000000"/>
          <w:kern w:val="2"/>
          <w:sz w:val="32"/>
          <w:szCs w:val="32"/>
        </w:rPr>
        <w:t>内外网</w:t>
      </w:r>
      <w:r>
        <w:rPr>
          <w:rFonts w:ascii="仿宋_GB2312" w:hAnsi="黑体" w:eastAsia="仿宋_GB2312"/>
          <w:color w:val="000000"/>
          <w:kern w:val="2"/>
          <w:sz w:val="32"/>
          <w:szCs w:val="32"/>
        </w:rPr>
        <w:t>单点登录、风险预警等系统，</w:t>
      </w:r>
      <w:r>
        <w:rPr>
          <w:rFonts w:hint="eastAsia" w:ascii="仿宋_GB2312" w:hAnsi="黑体" w:eastAsia="仿宋_GB2312"/>
          <w:color w:val="000000"/>
          <w:kern w:val="2"/>
          <w:sz w:val="32"/>
          <w:szCs w:val="32"/>
        </w:rPr>
        <w:t>目前各</w:t>
      </w:r>
      <w:r>
        <w:rPr>
          <w:rFonts w:ascii="仿宋_GB2312" w:hAnsi="黑体" w:eastAsia="仿宋_GB2312"/>
          <w:color w:val="000000"/>
          <w:kern w:val="2"/>
          <w:sz w:val="32"/>
          <w:szCs w:val="32"/>
        </w:rPr>
        <w:t>系统运行稳定</w:t>
      </w:r>
      <w:r>
        <w:rPr>
          <w:rFonts w:hint="eastAsia" w:ascii="仿宋_GB2312" w:hAnsi="黑体" w:eastAsia="仿宋_GB2312"/>
          <w:color w:val="000000"/>
          <w:kern w:val="2"/>
          <w:sz w:val="32"/>
          <w:szCs w:val="32"/>
        </w:rPr>
        <w:t>。</w:t>
      </w:r>
      <w:r>
        <w:rPr>
          <w:rFonts w:ascii="仿宋_GB2312" w:hAnsi="黑体" w:eastAsia="仿宋_GB2312"/>
          <w:color w:val="000000"/>
          <w:kern w:val="2"/>
          <w:sz w:val="32"/>
          <w:szCs w:val="32"/>
        </w:rPr>
        <w:t>根据</w:t>
      </w:r>
      <w:r>
        <w:rPr>
          <w:rFonts w:hint="eastAsia" w:ascii="仿宋_GB2312" w:hAnsi="黑体" w:eastAsia="仿宋_GB2312"/>
          <w:color w:val="000000"/>
          <w:kern w:val="2"/>
          <w:sz w:val="32"/>
          <w:szCs w:val="32"/>
        </w:rPr>
        <w:t>新</w:t>
      </w:r>
      <w:r>
        <w:rPr>
          <w:rFonts w:ascii="仿宋_GB2312" w:hAnsi="黑体" w:eastAsia="仿宋_GB2312"/>
          <w:color w:val="000000"/>
          <w:kern w:val="2"/>
          <w:sz w:val="32"/>
          <w:szCs w:val="32"/>
        </w:rPr>
        <w:t>修订的</w:t>
      </w:r>
      <w:r>
        <w:rPr>
          <w:rFonts w:hint="eastAsia" w:ascii="仿宋_GB2312" w:hAnsi="黑体" w:eastAsia="仿宋_GB2312"/>
          <w:color w:val="000000"/>
          <w:kern w:val="2"/>
          <w:sz w:val="32"/>
          <w:szCs w:val="32"/>
        </w:rPr>
        <w:t>药品相关</w:t>
      </w:r>
      <w:r>
        <w:rPr>
          <w:rFonts w:ascii="仿宋_GB2312" w:hAnsi="黑体" w:eastAsia="仿宋_GB2312"/>
          <w:color w:val="000000"/>
          <w:kern w:val="2"/>
          <w:sz w:val="32"/>
          <w:szCs w:val="32"/>
        </w:rPr>
        <w:t>法律</w:t>
      </w:r>
      <w:r>
        <w:rPr>
          <w:rFonts w:hint="eastAsia" w:ascii="仿宋_GB2312" w:hAnsi="黑体" w:eastAsia="仿宋_GB2312"/>
          <w:color w:val="000000"/>
          <w:kern w:val="2"/>
          <w:sz w:val="32"/>
          <w:szCs w:val="32"/>
        </w:rPr>
        <w:t>法规、国家局</w:t>
      </w:r>
      <w:r>
        <w:rPr>
          <w:rFonts w:ascii="仿宋_GB2312" w:hAnsi="黑体" w:eastAsia="仿宋_GB2312"/>
          <w:color w:val="000000"/>
          <w:kern w:val="2"/>
          <w:sz w:val="32"/>
          <w:szCs w:val="32"/>
        </w:rPr>
        <w:t>相关</w:t>
      </w:r>
      <w:r>
        <w:rPr>
          <w:rFonts w:hint="eastAsia" w:ascii="仿宋_GB2312" w:hAnsi="黑体" w:eastAsia="仿宋_GB2312"/>
          <w:color w:val="000000"/>
          <w:kern w:val="2"/>
          <w:sz w:val="32"/>
          <w:szCs w:val="32"/>
        </w:rPr>
        <w:t>政策</w:t>
      </w:r>
      <w:r>
        <w:rPr>
          <w:rFonts w:ascii="仿宋_GB2312" w:hAnsi="黑体" w:eastAsia="仿宋_GB2312"/>
          <w:color w:val="000000"/>
          <w:kern w:val="2"/>
          <w:sz w:val="32"/>
          <w:szCs w:val="32"/>
        </w:rPr>
        <w:t>调整等要求，</w:t>
      </w:r>
      <w:r>
        <w:rPr>
          <w:rFonts w:hint="eastAsia" w:ascii="仿宋_GB2312" w:hAnsi="黑体" w:eastAsia="仿宋_GB2312"/>
          <w:color w:val="000000"/>
          <w:kern w:val="2"/>
          <w:sz w:val="32"/>
          <w:szCs w:val="32"/>
        </w:rPr>
        <w:t>需要对执法文书模板</w:t>
      </w:r>
      <w:r>
        <w:rPr>
          <w:rFonts w:ascii="仿宋_GB2312" w:hAnsi="黑体" w:eastAsia="仿宋_GB2312"/>
          <w:color w:val="000000"/>
          <w:kern w:val="2"/>
          <w:sz w:val="32"/>
          <w:szCs w:val="32"/>
        </w:rPr>
        <w:t>、电子证照模板</w:t>
      </w:r>
      <w:r>
        <w:rPr>
          <w:rFonts w:hint="eastAsia" w:ascii="仿宋_GB2312" w:hAnsi="黑体" w:eastAsia="仿宋_GB2312"/>
          <w:color w:val="000000"/>
          <w:kern w:val="2"/>
          <w:sz w:val="32"/>
          <w:szCs w:val="32"/>
        </w:rPr>
        <w:t>、查询</w:t>
      </w:r>
      <w:r>
        <w:rPr>
          <w:rFonts w:ascii="仿宋_GB2312" w:hAnsi="黑体" w:eastAsia="仿宋_GB2312"/>
          <w:color w:val="000000"/>
          <w:kern w:val="2"/>
          <w:sz w:val="32"/>
          <w:szCs w:val="32"/>
        </w:rPr>
        <w:t>统计、数据接口</w:t>
      </w:r>
      <w:r>
        <w:rPr>
          <w:rFonts w:hint="eastAsia" w:ascii="仿宋_GB2312" w:hAnsi="黑体" w:eastAsia="仿宋_GB2312"/>
          <w:color w:val="000000"/>
          <w:kern w:val="2"/>
          <w:sz w:val="32"/>
          <w:szCs w:val="32"/>
        </w:rPr>
        <w:t>等</w:t>
      </w:r>
      <w:r>
        <w:rPr>
          <w:rFonts w:ascii="仿宋_GB2312" w:hAnsi="黑体" w:eastAsia="仿宋_GB2312"/>
          <w:color w:val="000000"/>
          <w:kern w:val="2"/>
          <w:sz w:val="32"/>
          <w:szCs w:val="32"/>
        </w:rPr>
        <w:t>进行</w:t>
      </w:r>
      <w:r>
        <w:rPr>
          <w:rFonts w:hint="eastAsia" w:ascii="仿宋_GB2312" w:hAnsi="黑体" w:eastAsia="仿宋_GB2312"/>
          <w:color w:val="000000"/>
          <w:kern w:val="2"/>
          <w:sz w:val="32"/>
          <w:szCs w:val="32"/>
        </w:rPr>
        <w:t>调整</w:t>
      </w:r>
      <w:r>
        <w:rPr>
          <w:rFonts w:ascii="仿宋_GB2312" w:hAnsi="黑体" w:eastAsia="仿宋_GB2312"/>
          <w:color w:val="000000"/>
          <w:kern w:val="2"/>
          <w:sz w:val="32"/>
          <w:szCs w:val="32"/>
        </w:rPr>
        <w:t>，</w:t>
      </w:r>
      <w:r>
        <w:rPr>
          <w:rFonts w:hint="eastAsia" w:ascii="仿宋_GB2312" w:hAnsi="黑体" w:eastAsia="仿宋_GB2312"/>
          <w:color w:val="000000"/>
          <w:kern w:val="2"/>
          <w:sz w:val="32"/>
          <w:szCs w:val="32"/>
        </w:rPr>
        <w:t>提升信息化对监管的服务能力，</w:t>
      </w:r>
      <w:r>
        <w:rPr>
          <w:rFonts w:ascii="仿宋_GB2312" w:hAnsi="黑体" w:eastAsia="仿宋_GB2312"/>
          <w:color w:val="000000"/>
          <w:kern w:val="2"/>
          <w:sz w:val="32"/>
          <w:szCs w:val="32"/>
        </w:rPr>
        <w:t>并对系统运行、数据库等进行巡检维护</w:t>
      </w:r>
      <w:r>
        <w:rPr>
          <w:rFonts w:hint="eastAsia" w:ascii="仿宋_GB2312" w:hAnsi="黑体" w:eastAsia="仿宋_GB2312"/>
          <w:color w:val="000000"/>
          <w:kern w:val="2"/>
          <w:sz w:val="32"/>
          <w:szCs w:val="32"/>
        </w:rPr>
        <w:t>，</w:t>
      </w:r>
      <w:r>
        <w:rPr>
          <w:rFonts w:ascii="仿宋_GB2312" w:hAnsi="黑体" w:eastAsia="仿宋_GB2312"/>
          <w:color w:val="000000"/>
          <w:kern w:val="2"/>
          <w:sz w:val="32"/>
          <w:szCs w:val="32"/>
        </w:rPr>
        <w:t>保障系统正常运行</w:t>
      </w:r>
      <w:r>
        <w:rPr>
          <w:rFonts w:hint="eastAsia" w:ascii="仿宋_GB2312" w:hAnsi="黑体" w:eastAsia="仿宋_GB2312"/>
          <w:color w:val="000000"/>
          <w:kern w:val="2"/>
          <w:sz w:val="32"/>
          <w:szCs w:val="32"/>
        </w:rPr>
        <w:t>。</w:t>
      </w:r>
    </w:p>
    <w:p>
      <w:pPr>
        <w:shd w:val="clear" w:color="auto" w:fill="FFFFFF"/>
        <w:spacing w:line="520" w:lineRule="exact"/>
        <w:ind w:firstLine="643" w:firstLineChars="200"/>
        <w:outlineLvl w:val="0"/>
        <w:rPr>
          <w:rFonts w:hint="eastAsia" w:ascii="方正黑体_GBK" w:hAnsi="宋体" w:eastAsia="方正黑体_GBK" w:cs="宋体"/>
          <w:b/>
          <w:color w:val="000000"/>
          <w:sz w:val="32"/>
          <w:szCs w:val="32"/>
        </w:rPr>
      </w:pPr>
      <w:r>
        <w:rPr>
          <w:rFonts w:hint="eastAsia" w:ascii="方正黑体_GBK" w:hAnsi="宋体" w:eastAsia="方正黑体_GBK" w:cs="宋体"/>
          <w:b/>
          <w:color w:val="000000"/>
          <w:sz w:val="32"/>
          <w:szCs w:val="32"/>
        </w:rPr>
        <w:t>三、采购货物（服务）技术规格、参数及要求</w:t>
      </w:r>
    </w:p>
    <w:p>
      <w:pPr>
        <w:pStyle w:val="3"/>
        <w:pageBreakBefore w:val="0"/>
        <w:widowControl w:val="0"/>
        <w:kinsoku/>
        <w:wordWrap/>
        <w:overflowPunct/>
        <w:topLinePunct w:val="0"/>
        <w:autoSpaceDE/>
        <w:autoSpaceDN/>
        <w:bidi w:val="0"/>
        <w:adjustRightInd/>
        <w:snapToGrid/>
        <w:spacing w:line="520" w:lineRule="exact"/>
        <w:ind w:firstLine="643" w:firstLineChars="200"/>
        <w:textAlignment w:val="auto"/>
        <w:rPr>
          <w:rFonts w:ascii="仿宋_GB2312" w:hAnsi="黑体" w:eastAsia="仿宋_GB2312"/>
          <w:color w:val="000000"/>
        </w:rPr>
      </w:pPr>
      <w:r>
        <w:rPr>
          <w:rFonts w:ascii="仿宋_GB2312" w:hAnsi="黑体" w:eastAsia="仿宋_GB2312"/>
          <w:color w:val="000000"/>
        </w:rPr>
        <w:t>3</w:t>
      </w:r>
      <w:r>
        <w:rPr>
          <w:rFonts w:hint="eastAsia" w:ascii="仿宋_GB2312" w:hAnsi="黑体" w:eastAsia="仿宋_GB2312"/>
          <w:color w:val="000000"/>
        </w:rPr>
        <w:t xml:space="preserve">.1 </w:t>
      </w:r>
      <w:r>
        <w:rPr>
          <w:rFonts w:ascii="仿宋_GB2312" w:hAnsi="黑体" w:eastAsia="仿宋_GB2312"/>
          <w:color w:val="000000"/>
        </w:rPr>
        <w:t>执法处罚系统维护</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3.1.1调整文书模板、电子表单功能</w:t>
      </w:r>
      <w:r>
        <w:rPr>
          <w:rFonts w:hint="eastAsia" w:ascii="仿宋_GB2312" w:hAnsi="黑体" w:eastAsia="仿宋_GB2312"/>
          <w:color w:val="000000"/>
          <w:sz w:val="32"/>
          <w:szCs w:val="32"/>
        </w:rPr>
        <w:t>。</w:t>
      </w:r>
      <w:r>
        <w:rPr>
          <w:rFonts w:ascii="仿宋_GB2312" w:hAnsi="黑体" w:eastAsia="仿宋_GB2312"/>
          <w:color w:val="000000"/>
          <w:sz w:val="32"/>
          <w:szCs w:val="32"/>
        </w:rPr>
        <w:t>按照《行政处罚文书格式范本及使用指南》</w:t>
      </w:r>
      <w:r>
        <w:rPr>
          <w:rFonts w:hint="eastAsia" w:ascii="仿宋_GB2312" w:hAnsi="黑体" w:eastAsia="仿宋_GB2312"/>
          <w:color w:val="000000"/>
          <w:sz w:val="32"/>
          <w:szCs w:val="32"/>
        </w:rPr>
        <w:t>（</w:t>
      </w:r>
      <w:r>
        <w:rPr>
          <w:rFonts w:ascii="仿宋_GB2312" w:hAnsi="黑体" w:eastAsia="仿宋_GB2312"/>
          <w:color w:val="000000"/>
          <w:sz w:val="32"/>
          <w:szCs w:val="32"/>
        </w:rPr>
        <w:t>2023</w:t>
      </w:r>
      <w:r>
        <w:rPr>
          <w:rFonts w:hint="eastAsia" w:ascii="仿宋_GB2312" w:hAnsi="黑体" w:eastAsia="仿宋_GB2312"/>
          <w:color w:val="000000"/>
          <w:sz w:val="32"/>
          <w:szCs w:val="32"/>
        </w:rPr>
        <w:t>）</w:t>
      </w:r>
      <w:r>
        <w:rPr>
          <w:rFonts w:ascii="仿宋_GB2312" w:hAnsi="黑体" w:eastAsia="仿宋_GB2312"/>
          <w:color w:val="000000"/>
          <w:sz w:val="32"/>
          <w:szCs w:val="32"/>
        </w:rPr>
        <w:t>要求，调整文书模板，配置文书审批节点、共享字段、文书类型、案件来源登记编号规则、文书编号规则等基本信息，添加办案常用语，辅助办案输入常用语。</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3.1.</w:t>
      </w:r>
      <w:r>
        <w:rPr>
          <w:rFonts w:hint="eastAsia" w:ascii="仿宋_GB2312" w:hAnsi="黑体" w:eastAsia="仿宋_GB2312"/>
          <w:color w:val="000000"/>
          <w:sz w:val="32"/>
          <w:szCs w:val="32"/>
        </w:rPr>
        <w:t>2</w:t>
      </w:r>
      <w:r>
        <w:rPr>
          <w:rFonts w:ascii="仿宋_GB2312" w:hAnsi="黑体" w:eastAsia="仿宋_GB2312"/>
          <w:color w:val="000000"/>
          <w:sz w:val="32"/>
          <w:szCs w:val="32"/>
        </w:rPr>
        <w:t>完善案件办理流程</w:t>
      </w:r>
      <w:r>
        <w:rPr>
          <w:rFonts w:hint="eastAsia" w:ascii="仿宋_GB2312" w:hAnsi="黑体" w:eastAsia="仿宋_GB2312"/>
          <w:color w:val="000000"/>
          <w:sz w:val="32"/>
          <w:szCs w:val="32"/>
        </w:rPr>
        <w:t>。</w:t>
      </w:r>
      <w:r>
        <w:rPr>
          <w:rFonts w:ascii="仿宋_GB2312" w:hAnsi="黑体" w:eastAsia="仿宋_GB2312"/>
          <w:color w:val="000000"/>
          <w:sz w:val="32"/>
          <w:szCs w:val="32"/>
        </w:rPr>
        <w:t>从线索案源到归档采用单条线流程节点控制，每个流程节点绑定文书办理对应不同的文书。配置办案程序的流程节点的文书表单管理关系、优化办案操作按钮。</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3.1.</w:t>
      </w:r>
      <w:r>
        <w:rPr>
          <w:rFonts w:hint="eastAsia" w:ascii="仿宋_GB2312" w:hAnsi="黑体" w:eastAsia="仿宋_GB2312"/>
          <w:color w:val="000000"/>
          <w:sz w:val="32"/>
          <w:szCs w:val="32"/>
        </w:rPr>
        <w:t>3</w:t>
      </w:r>
      <w:r>
        <w:rPr>
          <w:rFonts w:ascii="仿宋_GB2312" w:hAnsi="黑体" w:eastAsia="仿宋_GB2312"/>
          <w:color w:val="000000"/>
          <w:sz w:val="32"/>
          <w:szCs w:val="32"/>
        </w:rPr>
        <w:t>完善电子印章功能</w:t>
      </w:r>
      <w:r>
        <w:rPr>
          <w:rFonts w:hint="eastAsia" w:ascii="仿宋_GB2312" w:hAnsi="黑体" w:eastAsia="仿宋_GB2312"/>
          <w:color w:val="000000"/>
          <w:sz w:val="32"/>
          <w:szCs w:val="32"/>
        </w:rPr>
        <w:t>。</w:t>
      </w:r>
      <w:r>
        <w:rPr>
          <w:rFonts w:ascii="仿宋_GB2312" w:hAnsi="黑体" w:eastAsia="仿宋_GB2312"/>
          <w:color w:val="000000"/>
          <w:sz w:val="32"/>
          <w:szCs w:val="32"/>
        </w:rPr>
        <w:t>对接第三方电子签章系统，实现文书电子印章打印。案件办理流程中在电子印章申请审批表审核通过后，可加盖电子印章，实现电子文书预览、打印、下载等。</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3.1.</w:t>
      </w:r>
      <w:r>
        <w:rPr>
          <w:rFonts w:hint="eastAsia" w:ascii="仿宋_GB2312" w:hAnsi="黑体" w:eastAsia="仿宋_GB2312"/>
          <w:color w:val="000000"/>
          <w:sz w:val="32"/>
          <w:szCs w:val="32"/>
        </w:rPr>
        <w:t>4</w:t>
      </w:r>
      <w:r>
        <w:rPr>
          <w:rFonts w:ascii="仿宋_GB2312" w:hAnsi="黑体" w:eastAsia="仿宋_GB2312"/>
          <w:color w:val="000000"/>
          <w:sz w:val="32"/>
          <w:szCs w:val="32"/>
        </w:rPr>
        <w:t>完善查询统计功能</w:t>
      </w:r>
      <w:r>
        <w:rPr>
          <w:rFonts w:hint="eastAsia" w:ascii="仿宋_GB2312" w:hAnsi="黑体" w:eastAsia="仿宋_GB2312"/>
          <w:color w:val="000000"/>
          <w:sz w:val="32"/>
          <w:szCs w:val="32"/>
        </w:rPr>
        <w:t>。</w:t>
      </w:r>
      <w:r>
        <w:rPr>
          <w:rFonts w:ascii="仿宋_GB2312" w:hAnsi="黑体" w:eastAsia="仿宋_GB2312"/>
          <w:color w:val="000000"/>
          <w:sz w:val="32"/>
          <w:szCs w:val="32"/>
        </w:rPr>
        <w:t xml:space="preserve">根据案件数据项，完善查询功能，支持按照当事人归档状态和区市县等查询条件组合进行完成归档的案件信息筛选过滤，支持查看案件详情、案件产生的文书、支持附件下载，支持一键重置查询条件。按照执法类别分领域（药品、医疗器械、化妆品），分层级（省、市、县），分时间段等维度进行统计。根据国家局统计报表制度，统计一般程序案件数、简易程序案件数、一般程序案件货值金额、简易程序案件货值金额、一般程序案件罚款金额、简易程序案件罚款金额、没收违法所得金额等。 </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3.1.</w:t>
      </w:r>
      <w:r>
        <w:rPr>
          <w:rFonts w:hint="eastAsia" w:ascii="仿宋_GB2312" w:hAnsi="黑体" w:eastAsia="仿宋_GB2312"/>
          <w:color w:val="000000"/>
          <w:sz w:val="32"/>
          <w:szCs w:val="32"/>
        </w:rPr>
        <w:t>5</w:t>
      </w:r>
      <w:r>
        <w:rPr>
          <w:rFonts w:ascii="仿宋_GB2312" w:hAnsi="黑体" w:eastAsia="仿宋_GB2312"/>
          <w:color w:val="000000"/>
          <w:sz w:val="32"/>
          <w:szCs w:val="32"/>
        </w:rPr>
        <w:t>完善案件公示功能</w:t>
      </w:r>
      <w:r>
        <w:rPr>
          <w:rFonts w:hint="eastAsia" w:ascii="仿宋_GB2312" w:hAnsi="黑体" w:eastAsia="仿宋_GB2312"/>
          <w:color w:val="000000"/>
          <w:sz w:val="32"/>
          <w:szCs w:val="32"/>
        </w:rPr>
        <w:t>。</w:t>
      </w:r>
      <w:r>
        <w:rPr>
          <w:rFonts w:ascii="仿宋_GB2312" w:hAnsi="黑体" w:eastAsia="仿宋_GB2312"/>
          <w:color w:val="000000"/>
          <w:sz w:val="32"/>
          <w:szCs w:val="32"/>
        </w:rPr>
        <w:t>支持对指定案件在案件办理完成之后可填写《药品监管信息公开审批表》，经过相关审批流程后，通过对接省局政府网站信息发布，实现案件信息的对外公示。</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3.1.</w:t>
      </w:r>
      <w:r>
        <w:rPr>
          <w:rFonts w:hint="eastAsia" w:ascii="仿宋_GB2312" w:hAnsi="黑体" w:eastAsia="仿宋_GB2312"/>
          <w:color w:val="000000"/>
          <w:sz w:val="32"/>
          <w:szCs w:val="32"/>
        </w:rPr>
        <w:t>6</w:t>
      </w:r>
      <w:r>
        <w:rPr>
          <w:rFonts w:ascii="仿宋_GB2312" w:hAnsi="黑体" w:eastAsia="仿宋_GB2312"/>
          <w:color w:val="000000"/>
          <w:sz w:val="32"/>
          <w:szCs w:val="32"/>
        </w:rPr>
        <w:t>调整系统数据接口</w:t>
      </w:r>
      <w:r>
        <w:rPr>
          <w:rFonts w:hint="eastAsia" w:ascii="仿宋_GB2312" w:hAnsi="黑体" w:eastAsia="仿宋_GB2312"/>
          <w:color w:val="000000"/>
          <w:sz w:val="32"/>
          <w:szCs w:val="32"/>
        </w:rPr>
        <w:t>。</w:t>
      </w:r>
      <w:r>
        <w:rPr>
          <w:rFonts w:ascii="仿宋_GB2312" w:hAnsi="黑体" w:eastAsia="仿宋_GB2312"/>
          <w:color w:val="000000"/>
          <w:sz w:val="32"/>
          <w:szCs w:val="32"/>
        </w:rPr>
        <w:t>（1）新增与省局大数据中心交换接口。将执法处罚数据按照国家局数据标准要求、省政务互联网+监管要求，实时或定时将数据交换至省局数据中心。（2）新增信用办双公示数据推送接口。执法案件办结后按照信用双公示要求，及时将信息推送至省信用办。</w:t>
      </w:r>
    </w:p>
    <w:p>
      <w:pPr>
        <w:pageBreakBefore w:val="0"/>
        <w:widowControl w:val="0"/>
        <w:kinsoku/>
        <w:wordWrap/>
        <w:overflowPunct/>
        <w:topLinePunct w:val="0"/>
        <w:autoSpaceDE/>
        <w:autoSpaceDN/>
        <w:bidi w:val="0"/>
        <w:adjustRightInd/>
        <w:snapToGrid/>
        <w:spacing w:line="520" w:lineRule="exact"/>
        <w:ind w:firstLine="560"/>
        <w:textAlignment w:val="auto"/>
      </w:pPr>
      <w:r>
        <w:rPr>
          <w:rFonts w:ascii="仿宋_GB2312" w:hAnsi="黑体" w:eastAsia="仿宋_GB2312"/>
          <w:color w:val="000000"/>
          <w:sz w:val="32"/>
          <w:szCs w:val="32"/>
        </w:rPr>
        <w:t>3.1.</w:t>
      </w:r>
      <w:r>
        <w:rPr>
          <w:rFonts w:hint="eastAsia" w:ascii="仿宋_GB2312" w:hAnsi="黑体" w:eastAsia="仿宋_GB2312"/>
          <w:color w:val="000000"/>
          <w:sz w:val="32"/>
          <w:szCs w:val="32"/>
        </w:rPr>
        <w:t>7运行维护。</w:t>
      </w:r>
      <w:r>
        <w:rPr>
          <w:rFonts w:ascii="仿宋_GB2312" w:hAnsi="黑体" w:eastAsia="仿宋_GB2312"/>
          <w:color w:val="000000"/>
          <w:sz w:val="32"/>
          <w:szCs w:val="32"/>
        </w:rPr>
        <w:t>保障</w:t>
      </w:r>
      <w:r>
        <w:rPr>
          <w:rFonts w:hint="eastAsia" w:ascii="仿宋_GB2312" w:hAnsi="黑体" w:eastAsia="仿宋_GB2312"/>
          <w:color w:val="000000"/>
          <w:sz w:val="32"/>
          <w:szCs w:val="32"/>
        </w:rPr>
        <w:t>执法处罚系统</w:t>
      </w:r>
      <w:r>
        <w:rPr>
          <w:rFonts w:ascii="仿宋_GB2312" w:hAnsi="黑体" w:eastAsia="仿宋_GB2312"/>
          <w:color w:val="000000"/>
          <w:sz w:val="32"/>
          <w:szCs w:val="32"/>
        </w:rPr>
        <w:t>各功能模块正常稳定运行，及时解决工作人员在使用中遇到的各类问题。</w:t>
      </w:r>
    </w:p>
    <w:p>
      <w:pPr>
        <w:pStyle w:val="3"/>
        <w:pageBreakBefore w:val="0"/>
        <w:widowControl w:val="0"/>
        <w:kinsoku/>
        <w:wordWrap/>
        <w:overflowPunct/>
        <w:topLinePunct w:val="0"/>
        <w:autoSpaceDE/>
        <w:autoSpaceDN/>
        <w:bidi w:val="0"/>
        <w:adjustRightInd/>
        <w:snapToGrid/>
        <w:spacing w:line="520" w:lineRule="exact"/>
        <w:ind w:firstLine="643" w:firstLineChars="200"/>
        <w:textAlignment w:val="auto"/>
        <w:rPr>
          <w:rFonts w:ascii="仿宋_GB2312" w:hAnsi="黑体" w:eastAsia="仿宋_GB2312"/>
          <w:color w:val="000000"/>
        </w:rPr>
      </w:pPr>
      <w:r>
        <w:rPr>
          <w:rFonts w:ascii="仿宋_GB2312" w:hAnsi="黑体" w:eastAsia="仿宋_GB2312"/>
          <w:color w:val="000000"/>
        </w:rPr>
        <w:t>3.2电子证书系统维护</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w:t>
      </w:r>
      <w:r>
        <w:rPr>
          <w:rFonts w:hint="eastAsia" w:ascii="仿宋_GB2312" w:hAnsi="黑体" w:eastAsia="仿宋_GB2312"/>
          <w:color w:val="000000"/>
          <w:sz w:val="32"/>
          <w:szCs w:val="32"/>
        </w:rPr>
        <w:t>1</w:t>
      </w:r>
      <w:r>
        <w:rPr>
          <w:rFonts w:ascii="仿宋_GB2312" w:hAnsi="黑体" w:eastAsia="仿宋_GB2312"/>
          <w:color w:val="000000"/>
          <w:sz w:val="32"/>
          <w:szCs w:val="32"/>
        </w:rPr>
        <w:t>完善电子证书管理功能</w:t>
      </w:r>
      <w:r>
        <w:rPr>
          <w:rFonts w:hint="eastAsia" w:ascii="仿宋_GB2312" w:hAnsi="黑体" w:eastAsia="仿宋_GB2312"/>
          <w:color w:val="000000"/>
          <w:sz w:val="32"/>
          <w:szCs w:val="32"/>
        </w:rPr>
        <w:t>。</w:t>
      </w:r>
      <w:r>
        <w:rPr>
          <w:rFonts w:ascii="仿宋_GB2312" w:hAnsi="黑体" w:eastAsia="仿宋_GB2312"/>
          <w:color w:val="000000"/>
          <w:sz w:val="32"/>
          <w:szCs w:val="32"/>
        </w:rPr>
        <w:t>优化电子证书目录管理，由各级证书签发部门注册新电子证书并维护电子证书的业务关系，保证目录的完整性和可用性。优化电子证书管理，支持电子证书类别与电子证书事项、电子证书与电子证书之间的关联管理，支持电子证书由电子证书签发机构自主管理。支持兼容不同版本电子证书元数据管理，新增电子证书元数据创建、调整和扩展功能。</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3.2.2完善电子证书系统表单功能</w:t>
      </w:r>
      <w:r>
        <w:rPr>
          <w:rFonts w:hint="eastAsia" w:ascii="仿宋_GB2312" w:hAnsi="黑体" w:eastAsia="仿宋_GB2312"/>
          <w:color w:val="000000"/>
          <w:sz w:val="32"/>
          <w:szCs w:val="32"/>
        </w:rPr>
        <w:t>。</w:t>
      </w:r>
      <w:r>
        <w:rPr>
          <w:rFonts w:ascii="仿宋_GB2312" w:hAnsi="黑体" w:eastAsia="仿宋_GB2312"/>
          <w:color w:val="000000"/>
          <w:sz w:val="32"/>
          <w:szCs w:val="32"/>
        </w:rPr>
        <w:t>通过零代码开发技术，实现电子证书表单在线拖拽设计开发、在线预览、数据库表同步生成。表单的样式支持根据政策要求或者工作需要灵活调整，记录表单版本号，实现表单版本迭代。</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3.2.3完善电子证书版本管理功能</w:t>
      </w:r>
      <w:r>
        <w:rPr>
          <w:rFonts w:hint="eastAsia" w:ascii="仿宋_GB2312" w:hAnsi="黑体" w:eastAsia="仿宋_GB2312"/>
          <w:color w:val="000000"/>
          <w:sz w:val="32"/>
          <w:szCs w:val="32"/>
        </w:rPr>
        <w:t>。</w:t>
      </w:r>
      <w:r>
        <w:rPr>
          <w:rFonts w:ascii="仿宋_GB2312" w:hAnsi="黑体" w:eastAsia="仿宋_GB2312"/>
          <w:color w:val="000000"/>
          <w:sz w:val="32"/>
          <w:szCs w:val="32"/>
        </w:rPr>
        <w:t>支持电子证书版本化管理，根据数据版本时间展示出对应当时电子证书页面布局，对应绑定电子证书元，实现多个版本的电子证书数据回溯。</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3.2.4完善电子证书预警纠错功能</w:t>
      </w:r>
      <w:r>
        <w:rPr>
          <w:rFonts w:hint="eastAsia" w:ascii="仿宋_GB2312" w:hAnsi="黑体" w:eastAsia="仿宋_GB2312"/>
          <w:color w:val="000000"/>
          <w:sz w:val="32"/>
          <w:szCs w:val="32"/>
        </w:rPr>
        <w:t>。</w:t>
      </w:r>
      <w:r>
        <w:rPr>
          <w:rFonts w:ascii="仿宋_GB2312" w:hAnsi="黑体" w:eastAsia="仿宋_GB2312"/>
          <w:color w:val="000000"/>
          <w:sz w:val="32"/>
          <w:szCs w:val="32"/>
        </w:rPr>
        <w:t>完善电子证书纠错服务。支持通过系统向发证部门反馈电子证书错误，记录纠错内容系统，支持已采集电子证书信息在线比对。根据证书有效期，以短信或系统提醒方式，支持对系统有效电子证书数据提前进行过期预警、支持发证部门及监督管理部门及时催办。根据电子证书类型，制定电子证书校验规则，实现系统自动校验。</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3.2.5完善电子证书系统查询功能</w:t>
      </w:r>
      <w:r>
        <w:rPr>
          <w:rFonts w:hint="eastAsia" w:ascii="仿宋_GB2312" w:hAnsi="黑体" w:eastAsia="仿宋_GB2312"/>
          <w:color w:val="000000"/>
          <w:sz w:val="32"/>
          <w:szCs w:val="32"/>
        </w:rPr>
        <w:t>。</w:t>
      </w:r>
      <w:r>
        <w:rPr>
          <w:rFonts w:ascii="仿宋_GB2312" w:hAnsi="黑体" w:eastAsia="仿宋_GB2312"/>
          <w:color w:val="000000"/>
          <w:sz w:val="32"/>
          <w:szCs w:val="32"/>
        </w:rPr>
        <w:t>优化查询条件，重构查询展示页面。新增电子证书状态查询，包括但不限于新增、变更、延续、注销、过期等类别。新增未盖章电子证书查询，查询出各个地区各类电子证书未盖章的数量情况。</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3.2.6优化电子证书系统界面</w:t>
      </w:r>
      <w:r>
        <w:rPr>
          <w:rFonts w:hint="eastAsia" w:ascii="仿宋_GB2312" w:hAnsi="黑体" w:eastAsia="仿宋_GB2312"/>
          <w:color w:val="000000"/>
          <w:sz w:val="32"/>
          <w:szCs w:val="32"/>
        </w:rPr>
        <w:t>。</w:t>
      </w:r>
      <w:r>
        <w:rPr>
          <w:rFonts w:ascii="仿宋_GB2312" w:hAnsi="黑体" w:eastAsia="仿宋_GB2312"/>
          <w:color w:val="000000"/>
          <w:sz w:val="32"/>
          <w:szCs w:val="32"/>
        </w:rPr>
        <w:t>对系统首页和数据统计页面进行页面优化，以图形、热点地图等多种方式实时展示数据出入库、数据统计、电子证书预警等内容，包含但不限于待签发数量、今日签发数量、电子证书总数（药品类总部、器械类总数、化妆品总数）、市县证书数量。支持核发、变更、延续、注销、过期等电子证书数据对比。</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3.2.7完善电子证书公示平台界面</w:t>
      </w:r>
      <w:r>
        <w:rPr>
          <w:rFonts w:hint="eastAsia" w:ascii="仿宋_GB2312" w:hAnsi="黑体" w:eastAsia="仿宋_GB2312"/>
          <w:color w:val="000000"/>
          <w:sz w:val="32"/>
          <w:szCs w:val="32"/>
        </w:rPr>
        <w:t>。</w:t>
      </w:r>
      <w:r>
        <w:rPr>
          <w:rFonts w:ascii="仿宋_GB2312" w:hAnsi="黑体" w:eastAsia="仿宋_GB2312"/>
          <w:color w:val="000000"/>
          <w:sz w:val="32"/>
          <w:szCs w:val="32"/>
        </w:rPr>
        <w:t>优化公示平台操作界面和平台布局，调整平台整体操作功能，支持电子证书PDF、OFD格式下载，便于企业查阅电子证书，优化电子证书数据查询条件。</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3.2.8完善电子证书系统数据接口</w:t>
      </w:r>
      <w:r>
        <w:rPr>
          <w:rFonts w:hint="eastAsia" w:ascii="仿宋_GB2312" w:hAnsi="黑体" w:eastAsia="仿宋_GB2312"/>
          <w:color w:val="000000"/>
          <w:sz w:val="32"/>
          <w:szCs w:val="32"/>
        </w:rPr>
        <w:t>。</w:t>
      </w:r>
      <w:r>
        <w:rPr>
          <w:rFonts w:ascii="仿宋_GB2312" w:hAnsi="黑体" w:eastAsia="仿宋_GB2312"/>
          <w:color w:val="000000"/>
          <w:sz w:val="32"/>
          <w:szCs w:val="32"/>
        </w:rPr>
        <w:t>优化数据共享交换服务接口，升级电子证书系统与外部系统之间统一的交互方式，包括但不限于目录服务接口、电子证书签发接口、电子证书下载接口、电子证书服务接口、公众查询接口、与大数据中心数据交换接口、与信用双公示平台数据交换接口、与省一体化服务平台数据交换接口、与省市场局数据交换接口。</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3.2.9完成电子证书数据日常运维</w:t>
      </w:r>
      <w:r>
        <w:rPr>
          <w:rFonts w:hint="eastAsia" w:ascii="仿宋_GB2312" w:hAnsi="黑体" w:eastAsia="仿宋_GB2312"/>
          <w:color w:val="000000"/>
          <w:sz w:val="32"/>
          <w:szCs w:val="32"/>
        </w:rPr>
        <w:t>。</w:t>
      </w:r>
      <w:r>
        <w:rPr>
          <w:rFonts w:ascii="仿宋_GB2312" w:hAnsi="黑体" w:eastAsia="仿宋_GB2312"/>
          <w:color w:val="000000"/>
          <w:sz w:val="32"/>
          <w:szCs w:val="32"/>
        </w:rPr>
        <w:t>做好电子证书系统和电子证书数据运维保障工作，每月定期或根据工作需要提交运维日志。</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3.2.</w:t>
      </w:r>
      <w:r>
        <w:rPr>
          <w:rFonts w:hint="eastAsia" w:ascii="仿宋_GB2312" w:hAnsi="黑体" w:eastAsia="仿宋_GB2312"/>
          <w:color w:val="000000"/>
          <w:sz w:val="32"/>
          <w:szCs w:val="32"/>
        </w:rPr>
        <w:t>10运行维护。</w:t>
      </w:r>
      <w:r>
        <w:rPr>
          <w:rFonts w:ascii="仿宋_GB2312" w:hAnsi="黑体" w:eastAsia="仿宋_GB2312"/>
          <w:color w:val="000000"/>
          <w:sz w:val="32"/>
          <w:szCs w:val="32"/>
        </w:rPr>
        <w:t>保障</w:t>
      </w:r>
      <w:r>
        <w:rPr>
          <w:rFonts w:hint="eastAsia" w:ascii="仿宋_GB2312" w:hAnsi="黑体" w:eastAsia="仿宋_GB2312"/>
          <w:color w:val="000000"/>
          <w:sz w:val="32"/>
          <w:szCs w:val="32"/>
        </w:rPr>
        <w:t>电子证书系统</w:t>
      </w:r>
      <w:r>
        <w:rPr>
          <w:rFonts w:ascii="仿宋_GB2312" w:hAnsi="黑体" w:eastAsia="仿宋_GB2312"/>
          <w:color w:val="000000"/>
          <w:sz w:val="32"/>
          <w:szCs w:val="32"/>
        </w:rPr>
        <w:t>各功能模块正常稳定运行，及时解决工作人员在使用中遇到的各类问题。</w:t>
      </w:r>
    </w:p>
    <w:p>
      <w:pPr>
        <w:pStyle w:val="3"/>
        <w:pageBreakBefore w:val="0"/>
        <w:widowControl w:val="0"/>
        <w:kinsoku/>
        <w:wordWrap/>
        <w:overflowPunct/>
        <w:topLinePunct w:val="0"/>
        <w:autoSpaceDE/>
        <w:autoSpaceDN/>
        <w:bidi w:val="0"/>
        <w:adjustRightInd/>
        <w:snapToGrid/>
        <w:spacing w:line="520" w:lineRule="exact"/>
        <w:ind w:firstLine="643" w:firstLineChars="200"/>
        <w:textAlignment w:val="auto"/>
        <w:rPr>
          <w:rFonts w:ascii="仿宋_GB2312" w:hAnsi="黑体" w:eastAsia="仿宋_GB2312"/>
          <w:color w:val="000000"/>
        </w:rPr>
      </w:pPr>
      <w:r>
        <w:rPr>
          <w:rFonts w:ascii="仿宋_GB2312" w:hAnsi="黑体" w:eastAsia="仿宋_GB2312"/>
          <w:color w:val="000000"/>
        </w:rPr>
        <w:t>3.3日常监管系统维护</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hint="eastAsia" w:ascii="仿宋_GB2312" w:hAnsi="黑体" w:eastAsia="仿宋_GB2312"/>
          <w:color w:val="000000"/>
          <w:sz w:val="32"/>
          <w:szCs w:val="32"/>
        </w:rPr>
        <w:t>省局日常监管系统包括日常监管系统PC端、移动监管APP端两个组成部分。</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3.3.1 PC端日常维护</w:t>
      </w:r>
      <w:r>
        <w:rPr>
          <w:rFonts w:hint="eastAsia" w:ascii="仿宋_GB2312" w:hAnsi="黑体" w:eastAsia="仿宋_GB2312"/>
          <w:color w:val="000000"/>
          <w:sz w:val="32"/>
          <w:szCs w:val="32"/>
        </w:rPr>
        <w:t>。</w:t>
      </w:r>
      <w:r>
        <w:rPr>
          <w:rFonts w:ascii="仿宋_GB2312" w:hAnsi="黑体" w:eastAsia="仿宋_GB2312"/>
          <w:color w:val="000000"/>
          <w:sz w:val="32"/>
          <w:szCs w:val="32"/>
        </w:rPr>
        <w:t>根据</w:t>
      </w:r>
      <w:r>
        <w:rPr>
          <w:rFonts w:hint="eastAsia" w:ascii="仿宋_GB2312" w:hAnsi="黑体" w:eastAsia="仿宋_GB2312"/>
          <w:color w:val="000000"/>
          <w:sz w:val="32"/>
          <w:szCs w:val="32"/>
        </w:rPr>
        <w:t>监管</w:t>
      </w:r>
      <w:r>
        <w:rPr>
          <w:rFonts w:ascii="仿宋_GB2312" w:hAnsi="黑体" w:eastAsia="仿宋_GB2312"/>
          <w:color w:val="000000"/>
          <w:sz w:val="32"/>
          <w:szCs w:val="32"/>
        </w:rPr>
        <w:t>业务需要</w:t>
      </w:r>
      <w:r>
        <w:rPr>
          <w:rFonts w:hint="eastAsia" w:ascii="仿宋_GB2312" w:hAnsi="黑体" w:eastAsia="仿宋_GB2312"/>
          <w:color w:val="000000"/>
          <w:sz w:val="32"/>
          <w:szCs w:val="32"/>
        </w:rPr>
        <w:t>，</w:t>
      </w:r>
      <w:r>
        <w:rPr>
          <w:rFonts w:ascii="仿宋_GB2312" w:hAnsi="黑体" w:eastAsia="仿宋_GB2312"/>
          <w:color w:val="000000"/>
          <w:sz w:val="32"/>
          <w:szCs w:val="32"/>
        </w:rPr>
        <w:t>增加、调整、删减所有监管表单</w:t>
      </w:r>
      <w:r>
        <w:rPr>
          <w:rFonts w:hint="eastAsia" w:ascii="仿宋_GB2312" w:hAnsi="黑体" w:eastAsia="仿宋_GB2312"/>
          <w:color w:val="000000"/>
          <w:sz w:val="32"/>
          <w:szCs w:val="32"/>
        </w:rPr>
        <w:t>，完善</w:t>
      </w:r>
      <w:r>
        <w:rPr>
          <w:rFonts w:ascii="仿宋_GB2312" w:hAnsi="黑体" w:eastAsia="仿宋_GB2312"/>
          <w:color w:val="000000"/>
          <w:sz w:val="32"/>
          <w:szCs w:val="32"/>
        </w:rPr>
        <w:t>统计功能。建立药品日常监管平台运维服务群及售后服务电话，保障日常监管系统PC端各项功能模块正常稳定运行，及时解决全省“两品一械”监管工作人员在使用日常监管系统PC端中遇到的各类问题（电话及群里问题解决）</w:t>
      </w:r>
      <w:r>
        <w:rPr>
          <w:rFonts w:hint="eastAsia" w:ascii="仿宋_GB2312" w:hAnsi="黑体" w:eastAsia="仿宋_GB2312"/>
          <w:color w:val="000000"/>
          <w:sz w:val="32"/>
          <w:szCs w:val="32"/>
        </w:rPr>
        <w:t>。</w:t>
      </w:r>
    </w:p>
    <w:p>
      <w:pPr>
        <w:pageBreakBefore w:val="0"/>
        <w:widowControl w:val="0"/>
        <w:kinsoku/>
        <w:wordWrap/>
        <w:overflowPunct/>
        <w:topLinePunct w:val="0"/>
        <w:autoSpaceDE/>
        <w:autoSpaceDN/>
        <w:bidi w:val="0"/>
        <w:adjustRightInd/>
        <w:snapToGrid/>
        <w:spacing w:line="520" w:lineRule="exact"/>
        <w:ind w:firstLine="560"/>
        <w:textAlignment w:val="auto"/>
        <w:rPr>
          <w:rFonts w:hint="eastAsia" w:ascii="仿宋_GB2312" w:hAnsi="黑体" w:eastAsia="仿宋_GB2312"/>
          <w:color w:val="000000"/>
          <w:sz w:val="32"/>
          <w:szCs w:val="32"/>
        </w:rPr>
      </w:pPr>
      <w:r>
        <w:rPr>
          <w:rFonts w:ascii="仿宋_GB2312" w:hAnsi="黑体" w:eastAsia="仿宋_GB2312"/>
          <w:color w:val="000000"/>
          <w:sz w:val="32"/>
          <w:szCs w:val="32"/>
        </w:rPr>
        <w:t>3.3.2移动监管APP端日常维护</w:t>
      </w:r>
      <w:r>
        <w:rPr>
          <w:rFonts w:hint="eastAsia" w:ascii="仿宋_GB2312" w:hAnsi="黑体" w:eastAsia="仿宋_GB2312"/>
          <w:color w:val="000000"/>
          <w:sz w:val="32"/>
          <w:szCs w:val="32"/>
        </w:rPr>
        <w:t>。</w:t>
      </w:r>
      <w:r>
        <w:rPr>
          <w:rFonts w:ascii="仿宋_GB2312" w:hAnsi="黑体" w:eastAsia="仿宋_GB2312"/>
          <w:color w:val="000000"/>
          <w:sz w:val="32"/>
          <w:szCs w:val="32"/>
        </w:rPr>
        <w:t>根据业务需要增加、调整、删减所有监管表单</w:t>
      </w:r>
      <w:r>
        <w:rPr>
          <w:rFonts w:hint="eastAsia" w:ascii="仿宋_GB2312" w:hAnsi="黑体" w:eastAsia="仿宋_GB2312"/>
          <w:color w:val="000000"/>
          <w:sz w:val="32"/>
          <w:szCs w:val="32"/>
        </w:rPr>
        <w:t>，并根据PC端同步调整</w:t>
      </w:r>
      <w:r>
        <w:rPr>
          <w:rFonts w:ascii="仿宋_GB2312" w:hAnsi="黑体" w:eastAsia="仿宋_GB2312"/>
          <w:color w:val="000000"/>
          <w:sz w:val="32"/>
          <w:szCs w:val="32"/>
        </w:rPr>
        <w:t>移动端。保障移动监管APP端各项功能模块正常稳定运行，及时及时解决全省“两品一械”监管工作人员在使用移动监管APP端中遇到的各类问题（电话及群里问题解决）</w:t>
      </w:r>
      <w:r>
        <w:rPr>
          <w:rFonts w:hint="eastAsia" w:ascii="仿宋_GB2312" w:hAnsi="黑体" w:eastAsia="仿宋_GB2312"/>
          <w:color w:val="000000"/>
          <w:sz w:val="32"/>
          <w:szCs w:val="32"/>
        </w:rPr>
        <w:t>。</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3.3.</w:t>
      </w:r>
      <w:r>
        <w:rPr>
          <w:rFonts w:hint="eastAsia" w:ascii="仿宋_GB2312" w:hAnsi="黑体" w:eastAsia="仿宋_GB2312"/>
          <w:color w:val="000000"/>
          <w:sz w:val="32"/>
          <w:szCs w:val="32"/>
          <w:lang w:val="en-US" w:eastAsia="zh-CN"/>
        </w:rPr>
        <w:t>3</w:t>
      </w:r>
      <w:r>
        <w:rPr>
          <w:rFonts w:ascii="仿宋_GB2312" w:hAnsi="黑体" w:eastAsia="仿宋_GB2312"/>
          <w:color w:val="000000"/>
          <w:sz w:val="32"/>
          <w:szCs w:val="32"/>
        </w:rPr>
        <w:t>与外部系统对接维护</w:t>
      </w:r>
      <w:r>
        <w:rPr>
          <w:rFonts w:hint="eastAsia" w:ascii="仿宋_GB2312" w:hAnsi="黑体" w:eastAsia="仿宋_GB2312"/>
          <w:color w:val="000000"/>
          <w:sz w:val="32"/>
          <w:szCs w:val="32"/>
        </w:rPr>
        <w:t>。保障日常监管系统与省局数据中心、国家药监局、省政务办、省信用办、互联网+监管平台等对接正常稳定运行，及时解决系统对接相关问题，并根据新的对接需求完成接口开发。</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3.3.</w:t>
      </w:r>
      <w:r>
        <w:rPr>
          <w:rFonts w:hint="eastAsia" w:ascii="仿宋_GB2312" w:hAnsi="黑体" w:eastAsia="仿宋_GB2312"/>
          <w:color w:val="000000"/>
          <w:sz w:val="32"/>
          <w:szCs w:val="32"/>
          <w:lang w:val="en-US" w:eastAsia="zh-CN"/>
        </w:rPr>
        <w:t>4</w:t>
      </w:r>
      <w:r>
        <w:rPr>
          <w:rFonts w:ascii="仿宋_GB2312" w:hAnsi="黑体" w:eastAsia="仿宋_GB2312"/>
          <w:color w:val="000000"/>
          <w:sz w:val="32"/>
          <w:szCs w:val="32"/>
        </w:rPr>
        <w:t>定期巡检与检测</w:t>
      </w:r>
      <w:r>
        <w:rPr>
          <w:rFonts w:hint="eastAsia" w:ascii="仿宋_GB2312" w:hAnsi="黑体" w:eastAsia="仿宋_GB2312"/>
          <w:color w:val="000000"/>
          <w:sz w:val="32"/>
          <w:szCs w:val="32"/>
        </w:rPr>
        <w:t>。</w:t>
      </w:r>
      <w:r>
        <w:rPr>
          <w:rFonts w:ascii="仿宋_GB2312" w:hAnsi="黑体" w:eastAsia="仿宋_GB2312"/>
          <w:color w:val="000000"/>
          <w:sz w:val="32"/>
          <w:szCs w:val="32"/>
        </w:rPr>
        <w:t>每月对系统进行两次巡检，并出具巡检报告，保障系统稳定运行，主要包括药品日常监管系统巡检与检测、药品移动监管平台巡检与检测、备份数据库检测、应用中间件巡检与检测。</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3.3.</w:t>
      </w:r>
      <w:r>
        <w:rPr>
          <w:rFonts w:hint="eastAsia" w:ascii="仿宋_GB2312" w:hAnsi="黑体" w:eastAsia="仿宋_GB2312"/>
          <w:color w:val="000000"/>
          <w:sz w:val="32"/>
          <w:szCs w:val="32"/>
          <w:lang w:val="en-US" w:eastAsia="zh-CN"/>
        </w:rPr>
        <w:t>5</w:t>
      </w:r>
      <w:r>
        <w:rPr>
          <w:rFonts w:ascii="仿宋_GB2312" w:hAnsi="黑体" w:eastAsia="仿宋_GB2312"/>
          <w:color w:val="000000"/>
          <w:sz w:val="32"/>
          <w:szCs w:val="32"/>
        </w:rPr>
        <w:t>基础软件维护</w:t>
      </w:r>
      <w:r>
        <w:rPr>
          <w:rFonts w:hint="eastAsia" w:ascii="仿宋_GB2312" w:hAnsi="黑体" w:eastAsia="仿宋_GB2312"/>
          <w:color w:val="000000"/>
          <w:sz w:val="32"/>
          <w:szCs w:val="32"/>
        </w:rPr>
        <w:t>。按要求做好</w:t>
      </w:r>
      <w:r>
        <w:rPr>
          <w:rFonts w:ascii="仿宋_GB2312" w:hAnsi="黑体" w:eastAsia="仿宋_GB2312"/>
          <w:color w:val="000000"/>
          <w:sz w:val="32"/>
          <w:szCs w:val="32"/>
        </w:rPr>
        <w:t>数据</w:t>
      </w:r>
      <w:r>
        <w:rPr>
          <w:rFonts w:hint="eastAsia" w:ascii="仿宋_GB2312" w:hAnsi="黑体" w:eastAsia="仿宋_GB2312"/>
          <w:color w:val="000000"/>
          <w:sz w:val="32"/>
          <w:szCs w:val="32"/>
        </w:rPr>
        <w:t>备份</w:t>
      </w:r>
      <w:r>
        <w:rPr>
          <w:rFonts w:ascii="仿宋_GB2312" w:hAnsi="黑体" w:eastAsia="仿宋_GB2312"/>
          <w:color w:val="000000"/>
          <w:sz w:val="32"/>
          <w:szCs w:val="32"/>
        </w:rPr>
        <w:t>，</w:t>
      </w:r>
      <w:r>
        <w:rPr>
          <w:rFonts w:hint="eastAsia" w:ascii="仿宋_GB2312" w:hAnsi="黑体" w:eastAsia="仿宋_GB2312"/>
          <w:color w:val="000000"/>
          <w:sz w:val="32"/>
          <w:szCs w:val="32"/>
        </w:rPr>
        <w:t>保障</w:t>
      </w:r>
      <w:r>
        <w:rPr>
          <w:rFonts w:ascii="仿宋_GB2312" w:hAnsi="黑体" w:eastAsia="仿宋_GB2312"/>
          <w:color w:val="000000"/>
          <w:sz w:val="32"/>
          <w:szCs w:val="32"/>
        </w:rPr>
        <w:t>药品日常监管平台（服务器、数据库、中间件）7*24小时正常稳定运行。</w:t>
      </w:r>
    </w:p>
    <w:p>
      <w:pPr>
        <w:pStyle w:val="3"/>
        <w:pageBreakBefore w:val="0"/>
        <w:widowControl w:val="0"/>
        <w:kinsoku/>
        <w:wordWrap/>
        <w:overflowPunct/>
        <w:topLinePunct w:val="0"/>
        <w:autoSpaceDE/>
        <w:autoSpaceDN/>
        <w:bidi w:val="0"/>
        <w:adjustRightInd/>
        <w:snapToGrid/>
        <w:spacing w:line="520" w:lineRule="exact"/>
        <w:ind w:firstLine="643" w:firstLineChars="200"/>
        <w:textAlignment w:val="auto"/>
        <w:rPr>
          <w:rFonts w:ascii="仿宋_GB2312" w:hAnsi="黑体" w:eastAsia="仿宋_GB2312"/>
          <w:color w:val="000000"/>
        </w:rPr>
      </w:pPr>
      <w:r>
        <w:rPr>
          <w:rFonts w:ascii="仿宋_GB2312" w:hAnsi="黑体" w:eastAsia="仿宋_GB2312"/>
          <w:color w:val="000000"/>
        </w:rPr>
        <w:t>3.4内外网单点登录维护</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3.4.1外网单点登录重构</w:t>
      </w:r>
      <w:r>
        <w:rPr>
          <w:rFonts w:hint="eastAsia" w:ascii="仿宋_GB2312" w:hAnsi="黑体" w:eastAsia="仿宋_GB2312"/>
          <w:color w:val="000000"/>
          <w:sz w:val="32"/>
          <w:szCs w:val="32"/>
        </w:rPr>
        <w:t>。</w:t>
      </w:r>
      <w:r>
        <w:rPr>
          <w:rFonts w:ascii="仿宋_GB2312" w:hAnsi="黑体" w:eastAsia="仿宋_GB2312"/>
          <w:color w:val="000000"/>
          <w:sz w:val="32"/>
          <w:szCs w:val="32"/>
        </w:rPr>
        <w:t>外网登录页面和登录后首页改造；增加外网子系统接入设置及系统图标动态配置功能；增加用户外网子系统默认权限设置功能；增加用户初始密码、校验验证码、修改密码、忘记密码短信提醒功能；与外网子系统免登接口、短信接口、共享数据接口开发及联调测试。</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3.4.2内网单点登录重构</w:t>
      </w:r>
      <w:r>
        <w:rPr>
          <w:rFonts w:hint="eastAsia" w:ascii="仿宋_GB2312" w:hAnsi="黑体" w:eastAsia="仿宋_GB2312"/>
          <w:color w:val="000000"/>
          <w:sz w:val="32"/>
          <w:szCs w:val="32"/>
        </w:rPr>
        <w:t>。</w:t>
      </w:r>
      <w:r>
        <w:rPr>
          <w:rFonts w:ascii="仿宋_GB2312" w:hAnsi="黑体" w:eastAsia="仿宋_GB2312"/>
          <w:color w:val="000000"/>
          <w:sz w:val="32"/>
          <w:szCs w:val="32"/>
        </w:rPr>
        <w:t>新建内网单点登录门户，包括新闻动态、内部文件、数据展板、监管知识库、通讯录等查看维护功能；设置内网单点登录门户权限控制功能；增加内网子系统接入设置及系统图标动态配置功能；增加用户内网子系统默认权限设置功能；与内网子系统免登接口、共享数据接口开发及联调测试。</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3.4.3内外网单点登录日常运维</w:t>
      </w:r>
      <w:r>
        <w:rPr>
          <w:rFonts w:hint="eastAsia" w:ascii="仿宋_GB2312" w:hAnsi="黑体" w:eastAsia="仿宋_GB2312"/>
          <w:color w:val="000000"/>
          <w:sz w:val="32"/>
          <w:szCs w:val="32"/>
        </w:rPr>
        <w:t>。</w:t>
      </w:r>
      <w:r>
        <w:rPr>
          <w:rFonts w:ascii="仿宋_GB2312" w:hAnsi="黑体" w:eastAsia="仿宋_GB2312"/>
          <w:color w:val="000000"/>
          <w:sz w:val="32"/>
          <w:szCs w:val="32"/>
        </w:rPr>
        <w:t>保障内外网单点登录系统正常稳定运行，及时解决工作人员在使用中遇到的各类问题；子系统单点登录对接指导及联调上线；根据实际情况对内外网单点登录部门、人员、权限的新增、修改及注销等运维；定期或根据工作需要提交内外网单点登录运维日志。</w:t>
      </w:r>
    </w:p>
    <w:p>
      <w:pPr>
        <w:pStyle w:val="3"/>
        <w:pageBreakBefore w:val="0"/>
        <w:widowControl w:val="0"/>
        <w:kinsoku/>
        <w:wordWrap/>
        <w:overflowPunct/>
        <w:topLinePunct w:val="0"/>
        <w:autoSpaceDE/>
        <w:autoSpaceDN/>
        <w:bidi w:val="0"/>
        <w:adjustRightInd/>
        <w:snapToGrid/>
        <w:spacing w:line="520" w:lineRule="exact"/>
        <w:ind w:firstLine="643" w:firstLineChars="200"/>
        <w:textAlignment w:val="auto"/>
        <w:rPr>
          <w:rFonts w:ascii="仿宋_GB2312" w:hAnsi="黑体" w:eastAsia="仿宋_GB2312"/>
          <w:color w:val="000000"/>
        </w:rPr>
      </w:pPr>
      <w:r>
        <w:rPr>
          <w:rFonts w:ascii="仿宋_GB2312" w:hAnsi="黑体" w:eastAsia="仿宋_GB2312"/>
          <w:color w:val="000000"/>
        </w:rPr>
        <w:t>3.5风险预警系统维护</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3.5.1预警信息监测</w:t>
      </w:r>
      <w:r>
        <w:rPr>
          <w:rFonts w:hint="eastAsia" w:ascii="仿宋_GB2312" w:hAnsi="黑体" w:eastAsia="仿宋_GB2312"/>
          <w:color w:val="000000"/>
          <w:sz w:val="32"/>
          <w:szCs w:val="32"/>
          <w:lang w:eastAsia="zh-CN"/>
        </w:rPr>
        <w:t>。</w:t>
      </w:r>
      <w:r>
        <w:rPr>
          <w:rFonts w:ascii="仿宋_GB2312" w:hAnsi="黑体" w:eastAsia="仿宋_GB2312"/>
          <w:color w:val="000000"/>
          <w:sz w:val="32"/>
          <w:szCs w:val="32"/>
        </w:rPr>
        <w:t>运用大数据监测方法，对第三方平台、交易性网站等互联网上的药品、医疗器械等商品的经营信息定期巡检，搜索、监测湖北省“药品、医疗器械”网络销售中存在的违规线索并完成电子取证。每月监测有效信息不少于5条。主要包括以下信息：（1）湖北省内网络非法销售药品的预警信息。包括湖北省辖区内网络销售药品的无证经营、超范围经营、证照公示不规范、处方药信息违规展示、特殊管理药品网络销售、搭售/赠送药品、药品虚假宣传等违规预警信息。（2）湖北省内网络非法销售医疗器械的预警信息。包括湖北省辖区内网络销售医疗器械的无证经营、超范围经营、证照公示不规范、未办理网络销售备案、医疗器械虚假宣传等违规预警信息。</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3.5.2完善查询统计功能</w:t>
      </w:r>
      <w:r>
        <w:rPr>
          <w:rFonts w:hint="eastAsia" w:ascii="仿宋_GB2312" w:hAnsi="黑体" w:eastAsia="仿宋_GB2312"/>
          <w:color w:val="000000"/>
          <w:sz w:val="32"/>
          <w:szCs w:val="32"/>
        </w:rPr>
        <w:t>。</w:t>
      </w:r>
      <w:r>
        <w:rPr>
          <w:rFonts w:ascii="仿宋_GB2312" w:hAnsi="黑体" w:eastAsia="仿宋_GB2312"/>
          <w:color w:val="000000"/>
          <w:sz w:val="32"/>
          <w:szCs w:val="32"/>
        </w:rPr>
        <w:t>可通过时间、监管类别、行政区域、违规类型等方式对系统各类数据进行查询并支持报告下载；针对历次监测的违规数据进行汇总展示，可对违规的商品类型、违规的区域、违规的平台、违规的线索详情等汇总查看。</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3.5.3数据推送</w:t>
      </w:r>
      <w:r>
        <w:rPr>
          <w:rFonts w:hint="eastAsia" w:ascii="仿宋_GB2312" w:hAnsi="黑体" w:eastAsia="仿宋_GB2312"/>
          <w:color w:val="000000"/>
          <w:sz w:val="32"/>
          <w:szCs w:val="32"/>
        </w:rPr>
        <w:t>。</w:t>
      </w:r>
      <w:r>
        <w:rPr>
          <w:rFonts w:ascii="仿宋_GB2312" w:hAnsi="黑体" w:eastAsia="仿宋_GB2312"/>
          <w:color w:val="000000"/>
          <w:sz w:val="32"/>
          <w:szCs w:val="32"/>
        </w:rPr>
        <w:t>汇聚非法销售药品、非法销售医疗器械等风险预警及处理结果数据，按照数据规范，推送至省局大数据中心。</w:t>
      </w:r>
    </w:p>
    <w:p>
      <w:pPr>
        <w:pageBreakBefore w:val="0"/>
        <w:widowControl w:val="0"/>
        <w:kinsoku/>
        <w:wordWrap/>
        <w:overflowPunct/>
        <w:topLinePunct w:val="0"/>
        <w:autoSpaceDE/>
        <w:autoSpaceDN/>
        <w:bidi w:val="0"/>
        <w:adjustRightInd/>
        <w:snapToGrid/>
        <w:spacing w:line="520" w:lineRule="exact"/>
        <w:ind w:firstLine="560"/>
        <w:textAlignment w:val="auto"/>
        <w:rPr>
          <w:rFonts w:ascii="仿宋_GB2312" w:hAnsi="黑体" w:eastAsia="仿宋_GB2312"/>
          <w:color w:val="000000"/>
          <w:sz w:val="32"/>
          <w:szCs w:val="32"/>
        </w:rPr>
      </w:pPr>
      <w:r>
        <w:rPr>
          <w:rFonts w:ascii="仿宋_GB2312" w:hAnsi="黑体" w:eastAsia="仿宋_GB2312"/>
          <w:color w:val="000000"/>
          <w:sz w:val="32"/>
          <w:szCs w:val="32"/>
        </w:rPr>
        <w:t>3.5.4运行维护</w:t>
      </w:r>
      <w:r>
        <w:rPr>
          <w:rFonts w:hint="eastAsia" w:ascii="仿宋_GB2312" w:hAnsi="黑体" w:eastAsia="仿宋_GB2312"/>
          <w:color w:val="000000"/>
          <w:sz w:val="32"/>
          <w:szCs w:val="32"/>
        </w:rPr>
        <w:t>。</w:t>
      </w:r>
      <w:r>
        <w:rPr>
          <w:rFonts w:ascii="仿宋_GB2312" w:hAnsi="黑体" w:eastAsia="仿宋_GB2312"/>
          <w:color w:val="000000"/>
          <w:sz w:val="32"/>
          <w:szCs w:val="32"/>
        </w:rPr>
        <w:t>保障预警信息分发、对接推送、信息汇总分析等各项功能正常稳定运行，及时解决工作人员在使用系统中遇到的各类问题。</w:t>
      </w:r>
    </w:p>
    <w:p>
      <w:pPr>
        <w:pageBreakBefore w:val="0"/>
        <w:shd w:val="clear" w:color="auto" w:fill="FFFFFF"/>
        <w:kinsoku/>
        <w:wordWrap/>
        <w:overflowPunct/>
        <w:topLinePunct w:val="0"/>
        <w:autoSpaceDE/>
        <w:autoSpaceDN/>
        <w:bidi w:val="0"/>
        <w:adjustRightInd/>
        <w:snapToGrid/>
        <w:spacing w:line="600" w:lineRule="exact"/>
        <w:ind w:firstLine="640" w:firstLineChars="200"/>
        <w:textAlignment w:val="auto"/>
        <w:outlineLvl w:val="0"/>
        <w:rPr>
          <w:rFonts w:hint="eastAsia" w:ascii="方正黑体_GBK" w:hAnsi="宋体" w:eastAsia="方正黑体_GBK" w:cs="宋体"/>
          <w:color w:val="000000"/>
          <w:sz w:val="32"/>
          <w:szCs w:val="32"/>
        </w:rPr>
      </w:pPr>
      <w:r>
        <w:rPr>
          <w:rFonts w:hint="eastAsia" w:ascii="方正黑体_GBK" w:hAnsi="宋体" w:eastAsia="方正黑体_GBK" w:cs="宋体"/>
          <w:color w:val="000000"/>
          <w:sz w:val="32"/>
          <w:szCs w:val="32"/>
        </w:rPr>
        <w:t>四、商务服务及合同草案条款</w:t>
      </w:r>
    </w:p>
    <w:p>
      <w:pPr>
        <w:pStyle w:val="3"/>
        <w:pageBreakBefore w:val="0"/>
        <w:kinsoku/>
        <w:wordWrap/>
        <w:overflowPunct/>
        <w:topLinePunct w:val="0"/>
        <w:autoSpaceDE/>
        <w:autoSpaceDN/>
        <w:bidi w:val="0"/>
        <w:adjustRightInd/>
        <w:snapToGrid/>
        <w:spacing w:line="600" w:lineRule="exact"/>
        <w:ind w:firstLine="643" w:firstLineChars="200"/>
        <w:textAlignment w:val="auto"/>
        <w:rPr>
          <w:rFonts w:ascii="仿宋_GB2312" w:hAnsi="黑体" w:eastAsia="仿宋_GB2312"/>
          <w:color w:val="000000"/>
        </w:rPr>
      </w:pPr>
      <w:r>
        <w:rPr>
          <w:rFonts w:ascii="仿宋_GB2312" w:hAnsi="黑体" w:eastAsia="仿宋_GB2312"/>
          <w:color w:val="000000"/>
        </w:rPr>
        <w:t>4</w:t>
      </w:r>
      <w:r>
        <w:rPr>
          <w:rFonts w:hint="eastAsia" w:ascii="仿宋_GB2312" w:hAnsi="黑体" w:eastAsia="仿宋_GB2312"/>
          <w:color w:val="000000"/>
        </w:rPr>
        <w:t>.1项目服务期</w:t>
      </w:r>
    </w:p>
    <w:p>
      <w:pPr>
        <w:pageBreakBefore w:val="0"/>
        <w:kinsoku/>
        <w:wordWrap/>
        <w:overflowPunct/>
        <w:topLinePunct w:val="0"/>
        <w:autoSpaceDE/>
        <w:autoSpaceDN/>
        <w:bidi w:val="0"/>
        <w:adjustRightInd/>
        <w:snapToGrid/>
        <w:spacing w:line="600" w:lineRule="exact"/>
        <w:ind w:firstLine="560"/>
        <w:textAlignment w:val="auto"/>
        <w:rPr>
          <w:rFonts w:ascii="仿宋_GB2312" w:hAnsi="黑体" w:eastAsia="仿宋_GB2312"/>
          <w:color w:val="000000"/>
          <w:sz w:val="32"/>
          <w:szCs w:val="32"/>
        </w:rPr>
      </w:pPr>
      <w:r>
        <w:rPr>
          <w:rFonts w:hint="eastAsia" w:ascii="仿宋_GB2312" w:hAnsi="黑体" w:eastAsia="仿宋_GB2312"/>
          <w:color w:val="000000"/>
          <w:sz w:val="32"/>
          <w:szCs w:val="32"/>
        </w:rPr>
        <w:t>项目服务期1年（自合同签订之日起开始计算）。</w:t>
      </w:r>
    </w:p>
    <w:p>
      <w:pPr>
        <w:pStyle w:val="3"/>
        <w:pageBreakBefore w:val="0"/>
        <w:kinsoku/>
        <w:wordWrap/>
        <w:overflowPunct/>
        <w:topLinePunct w:val="0"/>
        <w:autoSpaceDE/>
        <w:autoSpaceDN/>
        <w:bidi w:val="0"/>
        <w:adjustRightInd/>
        <w:snapToGrid/>
        <w:spacing w:line="600" w:lineRule="exact"/>
        <w:ind w:firstLine="643" w:firstLineChars="200"/>
        <w:textAlignment w:val="auto"/>
        <w:rPr>
          <w:rFonts w:ascii="仿宋_GB2312" w:hAnsi="黑体" w:eastAsia="仿宋_GB2312"/>
          <w:color w:val="000000"/>
        </w:rPr>
      </w:pPr>
      <w:r>
        <w:rPr>
          <w:rFonts w:ascii="仿宋_GB2312" w:hAnsi="黑体" w:eastAsia="仿宋_GB2312"/>
          <w:color w:val="000000"/>
        </w:rPr>
        <w:t>4</w:t>
      </w:r>
      <w:r>
        <w:rPr>
          <w:rFonts w:hint="eastAsia" w:ascii="仿宋_GB2312" w:hAnsi="黑体" w:eastAsia="仿宋_GB2312"/>
          <w:color w:val="000000"/>
        </w:rPr>
        <w:t>.</w:t>
      </w:r>
      <w:r>
        <w:rPr>
          <w:rFonts w:ascii="仿宋_GB2312" w:hAnsi="黑体" w:eastAsia="仿宋_GB2312"/>
          <w:color w:val="000000"/>
        </w:rPr>
        <w:t>2</w:t>
      </w:r>
      <w:r>
        <w:rPr>
          <w:rFonts w:hint="eastAsia" w:ascii="仿宋_GB2312" w:hAnsi="黑体" w:eastAsia="仿宋_GB2312"/>
          <w:color w:val="000000"/>
        </w:rPr>
        <w:t>项目服务地点</w:t>
      </w:r>
    </w:p>
    <w:p>
      <w:pPr>
        <w:pageBreakBefore w:val="0"/>
        <w:kinsoku/>
        <w:wordWrap/>
        <w:overflowPunct/>
        <w:topLinePunct w:val="0"/>
        <w:autoSpaceDE/>
        <w:autoSpaceDN/>
        <w:bidi w:val="0"/>
        <w:adjustRightInd/>
        <w:snapToGrid/>
        <w:spacing w:line="600" w:lineRule="exact"/>
        <w:ind w:firstLine="480" w:firstLineChars="150"/>
        <w:textAlignment w:val="auto"/>
        <w:rPr>
          <w:rFonts w:hint="eastAsia" w:ascii="仿宋_GB2312" w:hAnsi="黑体" w:eastAsia="仿宋_GB2312"/>
          <w:color w:val="000000"/>
          <w:sz w:val="32"/>
          <w:szCs w:val="32"/>
        </w:rPr>
      </w:pPr>
      <w:r>
        <w:rPr>
          <w:rFonts w:hint="eastAsia" w:ascii="仿宋_GB2312" w:hAnsi="黑体" w:eastAsia="仿宋_GB2312"/>
          <w:color w:val="000000"/>
          <w:sz w:val="32"/>
          <w:szCs w:val="32"/>
        </w:rPr>
        <w:t>湖北省药品监督管理局</w:t>
      </w:r>
    </w:p>
    <w:p>
      <w:pPr>
        <w:pStyle w:val="3"/>
        <w:pageBreakBefore w:val="0"/>
        <w:kinsoku/>
        <w:wordWrap/>
        <w:overflowPunct/>
        <w:topLinePunct w:val="0"/>
        <w:autoSpaceDE/>
        <w:autoSpaceDN/>
        <w:bidi w:val="0"/>
        <w:adjustRightInd/>
        <w:snapToGrid/>
        <w:spacing w:line="600" w:lineRule="exact"/>
        <w:ind w:firstLine="643" w:firstLineChars="200"/>
        <w:textAlignment w:val="auto"/>
        <w:rPr>
          <w:rFonts w:ascii="仿宋_GB2312" w:hAnsi="黑体" w:eastAsia="仿宋_GB2312"/>
          <w:color w:val="000000"/>
        </w:rPr>
      </w:pPr>
      <w:r>
        <w:rPr>
          <w:rFonts w:ascii="仿宋_GB2312" w:hAnsi="黑体" w:eastAsia="仿宋_GB2312"/>
          <w:color w:val="000000"/>
        </w:rPr>
        <w:t>4</w:t>
      </w:r>
      <w:r>
        <w:rPr>
          <w:rFonts w:hint="eastAsia" w:ascii="仿宋_GB2312" w:hAnsi="黑体" w:eastAsia="仿宋_GB2312"/>
          <w:color w:val="000000"/>
        </w:rPr>
        <w:t>.</w:t>
      </w:r>
      <w:r>
        <w:rPr>
          <w:rFonts w:hint="eastAsia" w:ascii="仿宋_GB2312" w:hAnsi="黑体" w:eastAsia="仿宋_GB2312"/>
          <w:color w:val="000000"/>
          <w:lang w:val="en-US" w:eastAsia="zh-CN"/>
        </w:rPr>
        <w:t>3</w:t>
      </w:r>
      <w:r>
        <w:rPr>
          <w:rFonts w:hint="eastAsia" w:ascii="仿宋_GB2312" w:hAnsi="黑体" w:eastAsia="仿宋_GB2312"/>
          <w:color w:val="000000"/>
        </w:rPr>
        <w:t>服务团队要求</w:t>
      </w:r>
    </w:p>
    <w:p>
      <w:pPr>
        <w:pageBreakBefore w:val="0"/>
        <w:widowControl/>
        <w:kinsoku/>
        <w:wordWrap/>
        <w:overflowPunct/>
        <w:topLinePunct w:val="0"/>
        <w:autoSpaceDE/>
        <w:autoSpaceDN/>
        <w:bidi w:val="0"/>
        <w:adjustRightInd/>
        <w:snapToGrid/>
        <w:spacing w:line="600" w:lineRule="exact"/>
        <w:ind w:firstLine="480" w:firstLineChars="150"/>
        <w:jc w:val="left"/>
        <w:textAlignment w:val="auto"/>
        <w:rPr>
          <w:rFonts w:ascii="仿宋_GB2312" w:hAnsi="黑体" w:eastAsia="仿宋_GB2312"/>
          <w:color w:val="000000"/>
          <w:sz w:val="32"/>
          <w:szCs w:val="32"/>
        </w:rPr>
      </w:pPr>
      <w:r>
        <w:rPr>
          <w:rFonts w:hint="eastAsia" w:ascii="仿宋_GB2312" w:hAnsi="黑体" w:eastAsia="仿宋_GB2312"/>
          <w:color w:val="000000"/>
          <w:sz w:val="32"/>
          <w:szCs w:val="32"/>
        </w:rPr>
        <w:t>供应商应选派合适的人员组建项目服务团队，非必要不得更换项目组成员。项目组成员至少3人及以上专职工作人员，具备信息化系统维护实施和数据清理经验，具体负责项目服务工作。</w:t>
      </w:r>
    </w:p>
    <w:p>
      <w:pPr>
        <w:pStyle w:val="3"/>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黑体" w:eastAsia="仿宋_GB2312"/>
          <w:color w:val="000000"/>
        </w:rPr>
      </w:pPr>
      <w:r>
        <w:rPr>
          <w:rFonts w:hint="eastAsia" w:ascii="仿宋_GB2312" w:hAnsi="黑体" w:eastAsia="仿宋_GB2312"/>
          <w:color w:val="000000"/>
        </w:rPr>
        <w:t>4.</w:t>
      </w:r>
      <w:r>
        <w:rPr>
          <w:rFonts w:hint="eastAsia" w:ascii="仿宋_GB2312" w:hAnsi="黑体" w:eastAsia="仿宋_GB2312"/>
          <w:color w:val="000000"/>
          <w:lang w:val="en-US" w:eastAsia="zh-CN"/>
        </w:rPr>
        <w:t>4</w:t>
      </w:r>
      <w:r>
        <w:rPr>
          <w:rFonts w:hint="eastAsia" w:ascii="仿宋_GB2312" w:hAnsi="黑体" w:eastAsia="仿宋_GB2312"/>
          <w:color w:val="000000"/>
        </w:rPr>
        <w:t>维护</w:t>
      </w:r>
      <w:r>
        <w:rPr>
          <w:rFonts w:ascii="仿宋_GB2312" w:hAnsi="黑体" w:eastAsia="仿宋_GB2312"/>
          <w:color w:val="000000"/>
        </w:rPr>
        <w:t>服务要求</w:t>
      </w:r>
    </w:p>
    <w:p>
      <w:pPr>
        <w:pageBreakBefore w:val="0"/>
        <w:widowControl/>
        <w:kinsoku/>
        <w:wordWrap/>
        <w:overflowPunct/>
        <w:topLinePunct w:val="0"/>
        <w:autoSpaceDE/>
        <w:autoSpaceDN/>
        <w:bidi w:val="0"/>
        <w:adjustRightInd/>
        <w:snapToGrid/>
        <w:spacing w:line="600" w:lineRule="exact"/>
        <w:ind w:firstLine="480" w:firstLineChars="150"/>
        <w:jc w:val="left"/>
        <w:textAlignment w:val="auto"/>
        <w:rPr>
          <w:rFonts w:hint="eastAsia" w:ascii="仿宋_GB2312" w:hAnsi="黑体" w:eastAsia="仿宋_GB2312"/>
          <w:color w:val="000000"/>
          <w:sz w:val="32"/>
          <w:szCs w:val="32"/>
        </w:rPr>
      </w:pPr>
      <w:r>
        <w:rPr>
          <w:rFonts w:hint="eastAsia" w:ascii="仿宋_GB2312" w:hAnsi="黑体" w:eastAsia="仿宋_GB2312"/>
          <w:color w:val="000000"/>
          <w:sz w:val="32"/>
          <w:szCs w:val="32"/>
        </w:rPr>
        <w:t>供应商应根据采购人的需求，对所提供的系统保证全面、有效、及时的技术支持和售后服务。提供7×24小时的技术支持和服务，承诺故障响应时间小于15分钟，一般故障2小时内解决，重大故障应在12小时内解决。合同签订后，每年核心开发工程师到场时间不少于四个月。</w:t>
      </w:r>
    </w:p>
    <w:p>
      <w:pPr>
        <w:pStyle w:val="3"/>
        <w:pageBreakBefore w:val="0"/>
        <w:kinsoku/>
        <w:wordWrap/>
        <w:overflowPunct/>
        <w:topLinePunct w:val="0"/>
        <w:autoSpaceDE/>
        <w:autoSpaceDN/>
        <w:bidi w:val="0"/>
        <w:adjustRightInd/>
        <w:snapToGrid/>
        <w:spacing w:line="600" w:lineRule="exact"/>
        <w:ind w:firstLine="643" w:firstLineChars="200"/>
        <w:textAlignment w:val="auto"/>
        <w:rPr>
          <w:rFonts w:ascii="仿宋_GB2312" w:hAnsi="黑体" w:eastAsia="仿宋_GB2312"/>
          <w:color w:val="000000"/>
        </w:rPr>
      </w:pPr>
      <w:r>
        <w:rPr>
          <w:rFonts w:hint="eastAsia" w:ascii="仿宋_GB2312" w:hAnsi="黑体" w:eastAsia="仿宋_GB2312"/>
          <w:color w:val="000000"/>
        </w:rPr>
        <w:t>4.</w:t>
      </w:r>
      <w:r>
        <w:rPr>
          <w:rFonts w:hint="eastAsia" w:ascii="仿宋_GB2312" w:hAnsi="黑体" w:eastAsia="仿宋_GB2312"/>
          <w:color w:val="000000"/>
          <w:lang w:val="en-US" w:eastAsia="zh-CN"/>
        </w:rPr>
        <w:t>5</w:t>
      </w:r>
      <w:r>
        <w:rPr>
          <w:rFonts w:hint="eastAsia" w:ascii="仿宋_GB2312" w:hAnsi="黑体" w:eastAsia="仿宋_GB2312"/>
          <w:color w:val="000000"/>
        </w:rPr>
        <w:t>验收要求</w:t>
      </w:r>
    </w:p>
    <w:p>
      <w:pPr>
        <w:pStyle w:val="4"/>
        <w:pageBreakBefore w:val="0"/>
        <w:kinsoku/>
        <w:wordWrap/>
        <w:overflowPunct/>
        <w:topLinePunct w:val="0"/>
        <w:autoSpaceDE/>
        <w:autoSpaceDN/>
        <w:bidi w:val="0"/>
        <w:adjustRightInd/>
        <w:snapToGrid/>
        <w:spacing w:line="600" w:lineRule="exact"/>
        <w:ind w:firstLine="480" w:firstLineChars="150"/>
        <w:textAlignment w:val="auto"/>
        <w:rPr>
          <w:rFonts w:ascii="仿宋_GB2312" w:hAnsi="黑体" w:eastAsia="仿宋_GB2312"/>
          <w:color w:val="000000"/>
          <w:kern w:val="2"/>
          <w:sz w:val="32"/>
          <w:szCs w:val="32"/>
        </w:rPr>
      </w:pPr>
      <w:r>
        <w:rPr>
          <w:rFonts w:hint="eastAsia" w:ascii="仿宋_GB2312" w:hAnsi="黑体" w:eastAsia="仿宋_GB2312"/>
          <w:color w:val="000000"/>
          <w:kern w:val="2"/>
          <w:sz w:val="32"/>
          <w:szCs w:val="32"/>
        </w:rPr>
        <w:t>合同签订后，采购方委托第三方监理公司对项目进行全程监管，由第三方监理公司出具验收申请后，由采购方组织进行验收。</w:t>
      </w:r>
    </w:p>
    <w:p>
      <w:pPr>
        <w:pStyle w:val="3"/>
        <w:pageBreakBefore w:val="0"/>
        <w:kinsoku/>
        <w:wordWrap/>
        <w:overflowPunct/>
        <w:topLinePunct w:val="0"/>
        <w:autoSpaceDE/>
        <w:autoSpaceDN/>
        <w:bidi w:val="0"/>
        <w:adjustRightInd/>
        <w:snapToGrid/>
        <w:spacing w:line="600" w:lineRule="exact"/>
        <w:ind w:firstLine="643" w:firstLineChars="200"/>
        <w:textAlignment w:val="auto"/>
        <w:rPr>
          <w:rFonts w:ascii="仿宋_GB2312" w:hAnsi="黑体" w:eastAsia="仿宋_GB2312"/>
          <w:color w:val="000000"/>
        </w:rPr>
      </w:pPr>
      <w:r>
        <w:rPr>
          <w:rFonts w:hint="eastAsia" w:ascii="仿宋_GB2312" w:hAnsi="黑体" w:eastAsia="仿宋_GB2312"/>
          <w:color w:val="000000"/>
        </w:rPr>
        <w:t>4.</w:t>
      </w:r>
      <w:r>
        <w:rPr>
          <w:rFonts w:hint="eastAsia" w:ascii="仿宋_GB2312" w:hAnsi="黑体" w:eastAsia="仿宋_GB2312"/>
          <w:color w:val="000000"/>
          <w:lang w:val="en-US" w:eastAsia="zh-CN"/>
        </w:rPr>
        <w:t>6</w:t>
      </w:r>
      <w:r>
        <w:rPr>
          <w:rFonts w:hint="eastAsia" w:ascii="仿宋_GB2312" w:hAnsi="黑体" w:eastAsia="仿宋_GB2312"/>
          <w:color w:val="000000"/>
        </w:rPr>
        <w:t>付款方式</w:t>
      </w:r>
    </w:p>
    <w:p>
      <w:pPr>
        <w:pStyle w:val="4"/>
        <w:pageBreakBefore w:val="0"/>
        <w:kinsoku/>
        <w:wordWrap/>
        <w:overflowPunct/>
        <w:topLinePunct w:val="0"/>
        <w:autoSpaceDE/>
        <w:autoSpaceDN/>
        <w:bidi w:val="0"/>
        <w:adjustRightInd/>
        <w:snapToGrid/>
        <w:spacing w:line="600" w:lineRule="exact"/>
        <w:ind w:firstLine="640" w:firstLineChars="200"/>
        <w:textAlignment w:val="auto"/>
        <w:rPr>
          <w:rFonts w:ascii="仿宋_GB2312" w:hAnsi="黑体" w:eastAsia="仿宋_GB2312"/>
          <w:color w:val="000000"/>
          <w:kern w:val="2"/>
          <w:sz w:val="32"/>
          <w:szCs w:val="32"/>
        </w:rPr>
      </w:pPr>
      <w:r>
        <w:rPr>
          <w:rFonts w:hint="eastAsia" w:ascii="仿宋_GB2312" w:hAnsi="黑体" w:eastAsia="仿宋_GB2312"/>
          <w:color w:val="000000"/>
          <w:kern w:val="2"/>
          <w:sz w:val="32"/>
          <w:szCs w:val="32"/>
        </w:rPr>
        <w:t>由采购人在项目合同中商定。采购人付款之前必须先由供应商提供同等金额的正规发票，由采购人审核确认无误后支付合同款。</w:t>
      </w:r>
    </w:p>
    <w:p>
      <w:pPr>
        <w:pStyle w:val="3"/>
        <w:pageBreakBefore w:val="0"/>
        <w:kinsoku/>
        <w:wordWrap/>
        <w:overflowPunct/>
        <w:topLinePunct w:val="0"/>
        <w:autoSpaceDE/>
        <w:autoSpaceDN/>
        <w:bidi w:val="0"/>
        <w:adjustRightInd/>
        <w:snapToGrid/>
        <w:spacing w:line="600" w:lineRule="exact"/>
        <w:ind w:firstLine="643" w:firstLineChars="200"/>
        <w:textAlignment w:val="auto"/>
        <w:rPr>
          <w:rFonts w:ascii="仿宋_GB2312" w:hAnsi="黑体" w:eastAsia="仿宋_GB2312"/>
          <w:color w:val="000000"/>
        </w:rPr>
      </w:pPr>
      <w:r>
        <w:rPr>
          <w:rFonts w:hint="eastAsia" w:ascii="仿宋_GB2312" w:hAnsi="黑体" w:eastAsia="仿宋_GB2312"/>
          <w:color w:val="000000"/>
        </w:rPr>
        <w:t>4.</w:t>
      </w:r>
      <w:r>
        <w:rPr>
          <w:rFonts w:hint="eastAsia" w:ascii="仿宋_GB2312" w:hAnsi="黑体" w:eastAsia="仿宋_GB2312"/>
          <w:color w:val="000000"/>
          <w:lang w:val="en-US" w:eastAsia="zh-CN"/>
        </w:rPr>
        <w:t>7</w:t>
      </w:r>
      <w:r>
        <w:rPr>
          <w:rFonts w:hint="eastAsia" w:ascii="仿宋_GB2312" w:hAnsi="黑体" w:eastAsia="仿宋_GB2312"/>
          <w:color w:val="000000"/>
        </w:rPr>
        <w:t>保密要求</w:t>
      </w:r>
    </w:p>
    <w:p>
      <w:pPr>
        <w:pStyle w:val="4"/>
        <w:pageBreakBefore w:val="0"/>
        <w:kinsoku/>
        <w:wordWrap/>
        <w:overflowPunct/>
        <w:topLinePunct w:val="0"/>
        <w:autoSpaceDE/>
        <w:autoSpaceDN/>
        <w:bidi w:val="0"/>
        <w:adjustRightInd/>
        <w:snapToGrid/>
        <w:spacing w:line="600" w:lineRule="exact"/>
        <w:ind w:firstLine="480" w:firstLineChars="150"/>
        <w:textAlignment w:val="auto"/>
        <w:rPr>
          <w:rFonts w:hint="eastAsia" w:ascii="仿宋_GB2312" w:hAnsi="黑体" w:eastAsia="仿宋_GB2312"/>
          <w:color w:val="000000"/>
          <w:kern w:val="2"/>
          <w:sz w:val="32"/>
          <w:szCs w:val="32"/>
        </w:rPr>
      </w:pPr>
      <w:r>
        <w:rPr>
          <w:rFonts w:hint="eastAsia" w:ascii="仿宋_GB2312" w:hAnsi="黑体" w:eastAsia="仿宋_GB2312"/>
          <w:color w:val="000000"/>
          <w:kern w:val="2"/>
          <w:sz w:val="32"/>
          <w:szCs w:val="32"/>
        </w:rPr>
        <w:t>成交供应商应严守采购人的商业秘密，对采购人提供的所有资料和实施任务过程中接触的资料均予以保密，对采购人相关的业务数据、业务流程等开发资料必须严格保密，未经采购人同意，不得向第三方透露。</w:t>
      </w:r>
    </w:p>
    <w:p>
      <w:pPr>
        <w:rPr>
          <w:rFonts w:hint="default"/>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3ODA3ZmUzZTQxMDMxNGQxYTJlNzhhOTMwYjkyODYifQ=="/>
  </w:docVars>
  <w:rsids>
    <w:rsidRoot w:val="097F3EBE"/>
    <w:rsid w:val="097F3EBE"/>
    <w:rsid w:val="18545425"/>
    <w:rsid w:val="31BA21D1"/>
    <w:rsid w:val="3DC226B2"/>
    <w:rsid w:val="3DD410E3"/>
    <w:rsid w:val="409F08EF"/>
    <w:rsid w:val="410F6853"/>
    <w:rsid w:val="4B6A6206"/>
    <w:rsid w:val="4CAB6174"/>
    <w:rsid w:val="50B9305E"/>
    <w:rsid w:val="549B5BDE"/>
    <w:rsid w:val="559A321B"/>
    <w:rsid w:val="7ACE5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9"/>
    <w:pPr>
      <w:keepNext/>
      <w:keepLines/>
      <w:spacing w:line="560" w:lineRule="exact"/>
      <w:outlineLvl w:val="1"/>
    </w:pPr>
    <w:rPr>
      <w:rFonts w:ascii="方正黑体_GBK" w:hAnsi="Calibri Light" w:eastAsia="方正黑体_GBK" w:cs="Times New Roman"/>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kern w:val="0"/>
    </w:rPr>
  </w:style>
  <w:style w:type="paragraph" w:styleId="4">
    <w:name w:val="Body Text First Indent"/>
    <w:basedOn w:val="2"/>
    <w:qFormat/>
    <w:uiPriority w:val="0"/>
    <w:pPr>
      <w:spacing w:after="0" w:line="300" w:lineRule="auto"/>
    </w:pPr>
    <w:rPr>
      <w:sz w:val="20"/>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4408</Words>
  <Characters>4609</Characters>
  <Lines>0</Lines>
  <Paragraphs>0</Paragraphs>
  <TotalTime>144</TotalTime>
  <ScaleCrop>false</ScaleCrop>
  <LinksUpToDate>false</LinksUpToDate>
  <CharactersWithSpaces>4620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2023-05-15T01:39:00Z</dcterms:created>
  <dc:creator>lenovo</dc:creator>
  <cp:lastModifiedBy>lenovo</cp:lastModifiedBy>
  <cp:lastPrinted>2023-05-15T10:40:00Z</cp:lastPrinted>
  <dcterms:modified xsi:type="dcterms:W3CDTF">2023-06-06T09:18:13Z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B0DF1F557ECD491E81A65D80C708BE9D_11</vt:lpwstr>
  </property>
</Properties>
</file>